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44B3" w14:textId="29C5508D" w:rsidR="00877488" w:rsidRPr="00877488" w:rsidRDefault="00877488" w:rsidP="00877488">
      <w:pPr>
        <w:rPr>
          <w:b/>
          <w:bCs/>
        </w:rPr>
      </w:pPr>
      <w:r w:rsidRPr="00877488">
        <w:rPr>
          <w:b/>
          <w:bCs/>
        </w:rPr>
        <w:t>Reforms to the statutory consultee system</w:t>
      </w:r>
      <w:r w:rsidR="00563E87">
        <w:rPr>
          <w:b/>
          <w:bCs/>
        </w:rPr>
        <w:t xml:space="preserve"> specimen responses</w:t>
      </w:r>
    </w:p>
    <w:p w14:paraId="7AFD6F98" w14:textId="1B52AC3B" w:rsidR="00877488" w:rsidRDefault="00877488" w:rsidP="00F36A58">
      <w:pPr>
        <w:spacing w:after="0" w:line="240" w:lineRule="auto"/>
      </w:pPr>
      <w:r>
        <w:t>London Playing Fields Foundation has produced the following response for its customers, partners and supporters to use when responding to the consultation on proposals to remove Sport England as a statutory planning consultee.</w:t>
      </w:r>
    </w:p>
    <w:p w14:paraId="4629CF17" w14:textId="77777777" w:rsidR="00F36A58" w:rsidRDefault="00F36A58" w:rsidP="00F36A58">
      <w:pPr>
        <w:spacing w:after="0" w:line="240" w:lineRule="auto"/>
      </w:pPr>
    </w:p>
    <w:p w14:paraId="67AF03A4" w14:textId="3F3A99C4" w:rsidR="00877488" w:rsidRDefault="00877488" w:rsidP="00F36A58">
      <w:pPr>
        <w:spacing w:after="0" w:line="240" w:lineRule="auto"/>
      </w:pPr>
      <w:r>
        <w:t xml:space="preserve">You can respond to the consultation through the </w:t>
      </w:r>
      <w:hyperlink r:id="rId11" w:history="1">
        <w:r w:rsidRPr="00062386">
          <w:rPr>
            <w:rStyle w:val="Hyperlink"/>
          </w:rPr>
          <w:t>Online Submission Form</w:t>
        </w:r>
      </w:hyperlink>
      <w:r>
        <w:t>.</w:t>
      </w:r>
    </w:p>
    <w:p w14:paraId="42D43CFB" w14:textId="77777777" w:rsidR="00F36A58" w:rsidRDefault="00F36A58" w:rsidP="00F36A58">
      <w:pPr>
        <w:spacing w:after="0" w:line="240" w:lineRule="auto"/>
      </w:pPr>
    </w:p>
    <w:p w14:paraId="793FE55D" w14:textId="0F8C5716" w:rsidR="00877488" w:rsidRDefault="00CE612F" w:rsidP="00F36A58">
      <w:pPr>
        <w:spacing w:after="0" w:line="240" w:lineRule="auto"/>
      </w:pPr>
      <w:r>
        <w:t xml:space="preserve">The following responses will help you answer the </w:t>
      </w:r>
      <w:r w:rsidR="007225F7">
        <w:t xml:space="preserve">three </w:t>
      </w:r>
      <w:r>
        <w:t>key ques</w:t>
      </w:r>
      <w:r w:rsidR="00A508E8">
        <w:t>t</w:t>
      </w:r>
      <w:r>
        <w:t>ions</w:t>
      </w:r>
      <w:r w:rsidR="0007354B">
        <w:t xml:space="preserve"> </w:t>
      </w:r>
      <w:r w:rsidR="00EB483D">
        <w:t xml:space="preserve">on Page 3 </w:t>
      </w:r>
      <w:r w:rsidR="0007354B">
        <w:t>regarding Sport England’s role</w:t>
      </w:r>
      <w:r w:rsidR="00A508E8">
        <w:t>.</w:t>
      </w:r>
      <w:r w:rsidR="006B024C">
        <w:t xml:space="preserve"> There is no need to complete the rest of the online form</w:t>
      </w:r>
      <w:r w:rsidR="00DD042C">
        <w:t xml:space="preserve"> before submitting your response.</w:t>
      </w:r>
      <w:r w:rsidR="00B10403">
        <w:t xml:space="preserve"> It should only take 5 minutes to complete.</w:t>
      </w:r>
    </w:p>
    <w:p w14:paraId="26741413" w14:textId="77777777" w:rsidR="004755E1" w:rsidRDefault="004755E1" w:rsidP="00F36A58">
      <w:pPr>
        <w:spacing w:after="0" w:line="240" w:lineRule="auto"/>
      </w:pPr>
    </w:p>
    <w:tbl>
      <w:tblPr>
        <w:tblStyle w:val="TableGrid"/>
        <w:tblW w:w="0" w:type="auto"/>
        <w:tblLook w:val="04A0" w:firstRow="1" w:lastRow="0" w:firstColumn="1" w:lastColumn="0" w:noHBand="0" w:noVBand="1"/>
      </w:tblPr>
      <w:tblGrid>
        <w:gridCol w:w="2693"/>
        <w:gridCol w:w="10910"/>
      </w:tblGrid>
      <w:tr w:rsidR="006E4934" w:rsidRPr="00A560D0" w14:paraId="767C34EA" w14:textId="77777777" w:rsidTr="00F32882">
        <w:tc>
          <w:tcPr>
            <w:tcW w:w="13603" w:type="dxa"/>
            <w:gridSpan w:val="2"/>
            <w:tcBorders>
              <w:bottom w:val="single" w:sz="4" w:space="0" w:color="auto"/>
            </w:tcBorders>
            <w:shd w:val="clear" w:color="auto" w:fill="D1D1D1" w:themeFill="background2" w:themeFillShade="E6"/>
          </w:tcPr>
          <w:p w14:paraId="4670F538" w14:textId="5D71724A" w:rsidR="006E4934" w:rsidRPr="00A560D0" w:rsidRDefault="006E4934" w:rsidP="00A560D0">
            <w:pPr>
              <w:rPr>
                <w:b/>
                <w:bCs/>
              </w:rPr>
            </w:pPr>
            <w:r w:rsidRPr="00A560D0">
              <w:rPr>
                <w:b/>
                <w:bCs/>
              </w:rPr>
              <w:t xml:space="preserve">3. </w:t>
            </w:r>
            <w:proofErr w:type="gramStart"/>
            <w:r w:rsidRPr="00A560D0">
              <w:rPr>
                <w:b/>
                <w:bCs/>
              </w:rPr>
              <w:t>In light of</w:t>
            </w:r>
            <w:proofErr w:type="gramEnd"/>
            <w:r w:rsidRPr="00A560D0">
              <w:rPr>
                <w:b/>
                <w:bCs/>
              </w:rPr>
              <w:t xml:space="preserve"> the proposed mitigations, do you support the removal of Sport England as a statutory consultee</w:t>
            </w:r>
          </w:p>
        </w:tc>
      </w:tr>
      <w:tr w:rsidR="006E4934" w14:paraId="7BBBEDA6" w14:textId="77777777" w:rsidTr="00F32882">
        <w:tc>
          <w:tcPr>
            <w:tcW w:w="2693" w:type="dxa"/>
            <w:tcBorders>
              <w:bottom w:val="single" w:sz="4" w:space="0" w:color="auto"/>
            </w:tcBorders>
          </w:tcPr>
          <w:p w14:paraId="6B8CAF6E" w14:textId="12BA202E" w:rsidR="00F27406" w:rsidRDefault="00F27406" w:rsidP="00877488">
            <w:r>
              <w:t>Checkbox response</w:t>
            </w:r>
          </w:p>
          <w:p w14:paraId="33558164" w14:textId="77777777" w:rsidR="00F27406" w:rsidRDefault="00F27406" w:rsidP="00877488"/>
          <w:p w14:paraId="19FB33E9" w14:textId="0F33050D" w:rsidR="006E4934" w:rsidRPr="00617CCA" w:rsidRDefault="006E4934" w:rsidP="00877488">
            <w:pPr>
              <w:rPr>
                <w:b/>
                <w:bCs/>
              </w:rPr>
            </w:pPr>
            <w:r w:rsidRPr="00617CCA">
              <w:rPr>
                <w:b/>
                <w:bCs/>
              </w:rPr>
              <w:t>Oppose</w:t>
            </w:r>
          </w:p>
        </w:tc>
        <w:tc>
          <w:tcPr>
            <w:tcW w:w="10910" w:type="dxa"/>
            <w:tcBorders>
              <w:bottom w:val="single" w:sz="4" w:space="0" w:color="auto"/>
            </w:tcBorders>
          </w:tcPr>
          <w:p w14:paraId="59C4413E" w14:textId="6EFF18AD" w:rsidR="00F27406" w:rsidRDefault="00F27406" w:rsidP="00F27406">
            <w:r>
              <w:t>Text response</w:t>
            </w:r>
            <w:r w:rsidR="0014353D">
              <w:t>:</w:t>
            </w:r>
          </w:p>
          <w:p w14:paraId="1330D435" w14:textId="77777777" w:rsidR="004755E1" w:rsidRDefault="004755E1" w:rsidP="00F27406"/>
          <w:p w14:paraId="2E2528BB" w14:textId="77777777" w:rsidR="00E95A68" w:rsidRDefault="006E4934" w:rsidP="009F260A">
            <w:pPr>
              <w:pStyle w:val="ListParagraph"/>
              <w:numPr>
                <w:ilvl w:val="0"/>
                <w:numId w:val="6"/>
              </w:numPr>
            </w:pPr>
            <w:r>
              <w:t>We strongly oppose the proposal to remove Sport England as a statutory consultee. Sport England’s role within the planning system is crucial for protecting and enhancing playing fields</w:t>
            </w:r>
            <w:r w:rsidR="00BA2734">
              <w:t xml:space="preserve"> without </w:t>
            </w:r>
            <w:r w:rsidR="0003621B">
              <w:t xml:space="preserve">which </w:t>
            </w:r>
            <w:r w:rsidR="00DB58A0">
              <w:t>m</w:t>
            </w:r>
            <w:r>
              <w:t xml:space="preserve">illions of people </w:t>
            </w:r>
            <w:r w:rsidR="00DB58A0">
              <w:t>would not be able to play the sport they love and be physically active</w:t>
            </w:r>
            <w:r>
              <w:t xml:space="preserve">. </w:t>
            </w:r>
            <w:r w:rsidR="0021679A" w:rsidRPr="0021679A">
              <w:t>If Sport England’s statutory role is removed, there is no guaranteed protection for playing fields</w:t>
            </w:r>
            <w:r w:rsidR="006B24FD">
              <w:t xml:space="preserve"> for current or future generations</w:t>
            </w:r>
            <w:r w:rsidR="0021679A" w:rsidRPr="0021679A">
              <w:t xml:space="preserve">. </w:t>
            </w:r>
            <w:r w:rsidR="00086733">
              <w:t>Once a playing field is lost, it is lost forever.</w:t>
            </w:r>
            <w:r w:rsidR="000E5F5B">
              <w:t xml:space="preserve"> </w:t>
            </w:r>
          </w:p>
          <w:p w14:paraId="56A6C249" w14:textId="77777777" w:rsidR="00B31D71" w:rsidRPr="001258F3" w:rsidRDefault="00E95A68" w:rsidP="009F260A">
            <w:pPr>
              <w:pStyle w:val="ListParagraph"/>
              <w:numPr>
                <w:ilvl w:val="0"/>
                <w:numId w:val="6"/>
              </w:numPr>
              <w:spacing w:before="100" w:beforeAutospacing="1" w:after="240"/>
              <w:rPr>
                <w:rFonts w:ascii="Poppins" w:eastAsia="Times New Roman" w:hAnsi="Poppins" w:cs="Poppins"/>
                <w:color w:val="5E5E5E"/>
                <w:kern w:val="0"/>
                <w:sz w:val="24"/>
                <w:lang w:eastAsia="en-GB"/>
                <w14:ligatures w14:val="none"/>
              </w:rPr>
            </w:pPr>
            <w:r w:rsidRPr="00B31D71">
              <w:rPr>
                <w:rFonts w:cs="Arial"/>
              </w:rPr>
              <w:t>Playing fields are a vital part of the sporting infrastructure of this country</w:t>
            </w:r>
            <w:r w:rsidR="002C3DAB" w:rsidRPr="00B31D71">
              <w:rPr>
                <w:rFonts w:cs="Arial"/>
              </w:rPr>
              <w:t xml:space="preserve"> and since 1996 Sport Eng</w:t>
            </w:r>
            <w:r w:rsidR="00D70F67" w:rsidRPr="00B31D71">
              <w:rPr>
                <w:rFonts w:cs="Arial"/>
              </w:rPr>
              <w:t>l</w:t>
            </w:r>
            <w:r w:rsidR="002C3DAB" w:rsidRPr="00B31D71">
              <w:rPr>
                <w:rFonts w:cs="Arial"/>
              </w:rPr>
              <w:t>and, as a statutory consultee</w:t>
            </w:r>
            <w:r w:rsidR="00E45862" w:rsidRPr="00B31D71">
              <w:rPr>
                <w:rFonts w:cs="Arial"/>
              </w:rPr>
              <w:t xml:space="preserve">, has played a pivotal role in their protection. </w:t>
            </w:r>
            <w:r w:rsidR="005D3F94" w:rsidRPr="00B31D71">
              <w:rPr>
                <w:rFonts w:cs="Arial"/>
              </w:rPr>
              <w:t>Between 1979-1996</w:t>
            </w:r>
            <w:r w:rsidR="00D56D1D" w:rsidRPr="00B31D71">
              <w:rPr>
                <w:rFonts w:cs="Arial"/>
              </w:rPr>
              <w:t>, the</w:t>
            </w:r>
            <w:r w:rsidR="00C53131" w:rsidRPr="00B31D71">
              <w:rPr>
                <w:rFonts w:cs="Arial"/>
              </w:rPr>
              <w:t xml:space="preserve"> period before Sport </w:t>
            </w:r>
            <w:r w:rsidR="000152A7" w:rsidRPr="001258F3">
              <w:rPr>
                <w:rFonts w:cs="Arial"/>
              </w:rPr>
              <w:t>England</w:t>
            </w:r>
            <w:r w:rsidR="00C53131" w:rsidRPr="001258F3">
              <w:rPr>
                <w:rFonts w:cs="Arial"/>
              </w:rPr>
              <w:t xml:space="preserve"> was g</w:t>
            </w:r>
            <w:r w:rsidR="000152A7" w:rsidRPr="001258F3">
              <w:rPr>
                <w:rFonts w:cs="Arial"/>
              </w:rPr>
              <w:t>ranted</w:t>
            </w:r>
            <w:r w:rsidR="00C53131" w:rsidRPr="001258F3">
              <w:rPr>
                <w:rFonts w:cs="Arial"/>
              </w:rPr>
              <w:t xml:space="preserve"> </w:t>
            </w:r>
            <w:r w:rsidR="000152A7" w:rsidRPr="001258F3">
              <w:rPr>
                <w:rFonts w:cs="Arial"/>
              </w:rPr>
              <w:t>statutory</w:t>
            </w:r>
            <w:r w:rsidR="00C53131" w:rsidRPr="001258F3">
              <w:rPr>
                <w:rFonts w:cs="Arial"/>
              </w:rPr>
              <w:t xml:space="preserve"> </w:t>
            </w:r>
            <w:r w:rsidR="000152A7" w:rsidRPr="001258F3">
              <w:rPr>
                <w:rFonts w:cs="Arial"/>
              </w:rPr>
              <w:t xml:space="preserve">consultee </w:t>
            </w:r>
            <w:r w:rsidR="00C53131" w:rsidRPr="001258F3">
              <w:rPr>
                <w:rFonts w:cs="Arial"/>
              </w:rPr>
              <w:t>sta</w:t>
            </w:r>
            <w:r w:rsidR="000152A7" w:rsidRPr="001258F3">
              <w:rPr>
                <w:rFonts w:cs="Arial"/>
              </w:rPr>
              <w:t xml:space="preserve">tus, </w:t>
            </w:r>
            <w:r w:rsidR="0012024C" w:rsidRPr="001258F3">
              <w:rPr>
                <w:rFonts w:cs="Arial"/>
              </w:rPr>
              <w:t>the nation lost 10,000 playing fields</w:t>
            </w:r>
            <w:r w:rsidR="00097172" w:rsidRPr="001258F3">
              <w:rPr>
                <w:rFonts w:cs="Arial"/>
              </w:rPr>
              <w:t>.</w:t>
            </w:r>
            <w:r w:rsidR="000152A7" w:rsidRPr="001258F3">
              <w:rPr>
                <w:rFonts w:cs="Arial"/>
              </w:rPr>
              <w:t xml:space="preserve"> </w:t>
            </w:r>
            <w:r w:rsidR="000E5F5B" w:rsidRPr="001258F3">
              <w:rPr>
                <w:rFonts w:cs="Arial"/>
              </w:rPr>
              <w:t>In stark contrast, between 202</w:t>
            </w:r>
            <w:r w:rsidR="00685784" w:rsidRPr="001258F3">
              <w:rPr>
                <w:rFonts w:cs="Arial"/>
              </w:rPr>
              <w:t>3</w:t>
            </w:r>
            <w:r w:rsidR="000E5F5B" w:rsidRPr="001258F3">
              <w:rPr>
                <w:rFonts w:cs="Arial"/>
              </w:rPr>
              <w:t xml:space="preserve"> and 202</w:t>
            </w:r>
            <w:r w:rsidR="00685784" w:rsidRPr="001258F3">
              <w:rPr>
                <w:rFonts w:cs="Arial"/>
              </w:rPr>
              <w:t>4</w:t>
            </w:r>
            <w:r w:rsidR="000E5F5B" w:rsidRPr="001258F3">
              <w:rPr>
                <w:rFonts w:cs="Arial"/>
              </w:rPr>
              <w:t xml:space="preserve"> Sport England’s interventions helped save </w:t>
            </w:r>
            <w:r w:rsidR="00685784" w:rsidRPr="001258F3">
              <w:rPr>
                <w:rFonts w:cs="Arial"/>
              </w:rPr>
              <w:t xml:space="preserve">1,038 playing fields </w:t>
            </w:r>
            <w:r w:rsidR="002D4EC6" w:rsidRPr="001258F3">
              <w:rPr>
                <w:rFonts w:cs="Arial"/>
              </w:rPr>
              <w:t>from</w:t>
            </w:r>
            <w:r w:rsidR="000E5F5B" w:rsidRPr="001258F3">
              <w:rPr>
                <w:rFonts w:cs="Arial"/>
              </w:rPr>
              <w:t xml:space="preserve"> inappropriate development with 94% of all concluded planning applications resulting in improved or safeguarded facilities. </w:t>
            </w:r>
          </w:p>
          <w:p w14:paraId="70D3F14D" w14:textId="3B2182EF" w:rsidR="009F260A" w:rsidRPr="001258F3" w:rsidRDefault="009174A0" w:rsidP="009174A0">
            <w:pPr>
              <w:pStyle w:val="ListParagraph"/>
              <w:numPr>
                <w:ilvl w:val="0"/>
                <w:numId w:val="6"/>
              </w:numPr>
              <w:spacing w:before="100" w:beforeAutospacing="1" w:after="240"/>
              <w:rPr>
                <w:rFonts w:ascii="Poppins" w:eastAsia="Times New Roman" w:hAnsi="Poppins" w:cs="Poppins"/>
                <w:color w:val="5E5E5E"/>
                <w:kern w:val="0"/>
                <w:sz w:val="24"/>
                <w:lang w:eastAsia="en-GB"/>
                <w14:ligatures w14:val="none"/>
              </w:rPr>
            </w:pPr>
            <w:r w:rsidRPr="001258F3">
              <w:rPr>
                <w:rFonts w:eastAsia="Times New Roman" w:cs="Arial"/>
                <w:kern w:val="0"/>
                <w:szCs w:val="22"/>
                <w:lang w:eastAsia="en-GB"/>
                <w14:ligatures w14:val="none"/>
              </w:rPr>
              <w:t>O</w:t>
            </w:r>
            <w:r w:rsidR="009F260A" w:rsidRPr="001258F3">
              <w:rPr>
                <w:rFonts w:eastAsia="Times New Roman" w:cs="Arial"/>
                <w:kern w:val="0"/>
                <w:szCs w:val="22"/>
                <w:lang w:eastAsia="en-GB"/>
                <w14:ligatures w14:val="none"/>
              </w:rPr>
              <w:t>f the 145 applications where Sport England maintained its objection, 79 (55%) were either withdrawn by the applicants or refused planning permission</w:t>
            </w:r>
            <w:r w:rsidR="009F260A" w:rsidRPr="001258F3">
              <w:rPr>
                <w:rFonts w:ascii="Poppins" w:eastAsia="Times New Roman" w:hAnsi="Poppins" w:cs="Poppins"/>
                <w:color w:val="5E5E5E"/>
                <w:kern w:val="0"/>
                <w:sz w:val="24"/>
                <w:lang w:eastAsia="en-GB"/>
                <w14:ligatures w14:val="none"/>
              </w:rPr>
              <w:t>.</w:t>
            </w:r>
          </w:p>
          <w:p w14:paraId="7D4667FB" w14:textId="1BC0A7DB" w:rsidR="000E5F5B" w:rsidRPr="00515F86" w:rsidRDefault="00097172" w:rsidP="009F260A">
            <w:pPr>
              <w:pStyle w:val="ListParagraph"/>
              <w:numPr>
                <w:ilvl w:val="0"/>
                <w:numId w:val="6"/>
              </w:numPr>
              <w:rPr>
                <w:rFonts w:cs="Arial"/>
              </w:rPr>
            </w:pPr>
            <w:r w:rsidRPr="00515F86">
              <w:rPr>
                <w:rFonts w:cs="Arial"/>
              </w:rPr>
              <w:t xml:space="preserve">In </w:t>
            </w:r>
            <w:r w:rsidR="006921C1" w:rsidRPr="00515F86">
              <w:rPr>
                <w:rFonts w:cs="Arial"/>
              </w:rPr>
              <w:t>L</w:t>
            </w:r>
            <w:r w:rsidRPr="00515F86">
              <w:rPr>
                <w:rFonts w:cs="Arial"/>
              </w:rPr>
              <w:t>ondon, which has 16% of the country’s population but only 8% of its playing fields</w:t>
            </w:r>
            <w:r w:rsidR="006921C1" w:rsidRPr="00515F86">
              <w:rPr>
                <w:rFonts w:cs="Arial"/>
              </w:rPr>
              <w:t xml:space="preserve">, over the past 5 years </w:t>
            </w:r>
            <w:r w:rsidR="00D01116" w:rsidRPr="00515F86">
              <w:rPr>
                <w:rFonts w:cs="Arial"/>
              </w:rPr>
              <w:t>there</w:t>
            </w:r>
            <w:r w:rsidR="000E5F5B" w:rsidRPr="00515F86">
              <w:rPr>
                <w:rFonts w:cs="Arial"/>
              </w:rPr>
              <w:t xml:space="preserve"> have been 398 concluded planning applications affecting playing fields with 90% resulting in improved or safeguarded provision. </w:t>
            </w:r>
          </w:p>
          <w:p w14:paraId="658C0AEE" w14:textId="1110088A" w:rsidR="006E4934" w:rsidRDefault="006E4934" w:rsidP="00074B21">
            <w:pPr>
              <w:pStyle w:val="ListParagraph"/>
              <w:ind w:left="315"/>
            </w:pPr>
          </w:p>
          <w:p w14:paraId="46A0A802" w14:textId="6E5BD1CD" w:rsidR="006E4934" w:rsidRDefault="006E4934" w:rsidP="005E5EEA">
            <w:r>
              <w:lastRenderedPageBreak/>
              <w:t xml:space="preserve">We </w:t>
            </w:r>
            <w:r w:rsidR="00DE3D91">
              <w:t>strongly dispute that</w:t>
            </w:r>
            <w:r>
              <w:t xml:space="preserve"> Sport England’s statutory consultee role is a barrier to increasing economic growth </w:t>
            </w:r>
            <w:r w:rsidR="00DE3D91">
              <w:t xml:space="preserve">and a blocker </w:t>
            </w:r>
            <w:r w:rsidR="009B0325">
              <w:t xml:space="preserve">of new homes </w:t>
            </w:r>
            <w:r w:rsidR="001231B5" w:rsidRPr="00585D6F">
              <w:t>f</w:t>
            </w:r>
            <w:r w:rsidRPr="00585D6F">
              <w:t>or</w:t>
            </w:r>
            <w:r>
              <w:t xml:space="preserve"> the following reasons:</w:t>
            </w:r>
          </w:p>
          <w:p w14:paraId="2770DF8E" w14:textId="77777777" w:rsidR="00862C68" w:rsidRPr="001258F3" w:rsidRDefault="00656CA4" w:rsidP="00862C68">
            <w:pPr>
              <w:pStyle w:val="ListParagraph"/>
              <w:numPr>
                <w:ilvl w:val="0"/>
                <w:numId w:val="6"/>
              </w:numPr>
              <w:spacing w:before="100" w:beforeAutospacing="1" w:after="240"/>
              <w:rPr>
                <w:rFonts w:ascii="Poppins" w:eastAsia="Times New Roman" w:hAnsi="Poppins" w:cs="Poppins"/>
                <w:color w:val="5E5E5E"/>
                <w:kern w:val="0"/>
                <w:sz w:val="24"/>
                <w:lang w:eastAsia="en-GB"/>
                <w14:ligatures w14:val="none"/>
              </w:rPr>
            </w:pPr>
            <w:r>
              <w:t>Sport England doe</w:t>
            </w:r>
            <w:r w:rsidR="004E0C12">
              <w:t>s not</w:t>
            </w:r>
            <w:r>
              <w:t xml:space="preserve"> </w:t>
            </w:r>
            <w:r w:rsidRPr="001258F3">
              <w:t xml:space="preserve">object to planning applications </w:t>
            </w:r>
            <w:r w:rsidR="004E0C12" w:rsidRPr="001258F3">
              <w:t>without good reason</w:t>
            </w:r>
            <w:r w:rsidRPr="001258F3">
              <w:t xml:space="preserve">. </w:t>
            </w:r>
            <w:r w:rsidR="00D42000" w:rsidRPr="001258F3">
              <w:t>I</w:t>
            </w:r>
            <w:r w:rsidR="005E5EEA" w:rsidRPr="001258F3">
              <w:rPr>
                <w:rFonts w:cs="Arial"/>
              </w:rPr>
              <w:t>n 70% of statutory applications Sport England do</w:t>
            </w:r>
            <w:r w:rsidR="009B0325" w:rsidRPr="001258F3">
              <w:rPr>
                <w:rFonts w:cs="Arial"/>
              </w:rPr>
              <w:t>es</w:t>
            </w:r>
            <w:r w:rsidR="005E5EEA" w:rsidRPr="001258F3">
              <w:rPr>
                <w:rFonts w:cs="Arial"/>
              </w:rPr>
              <w:t xml:space="preserve"> not object. </w:t>
            </w:r>
            <w:r w:rsidR="00862C68" w:rsidRPr="001258F3">
              <w:rPr>
                <w:rFonts w:eastAsia="Times New Roman" w:cs="Arial"/>
                <w:kern w:val="0"/>
                <w:szCs w:val="22"/>
                <w:lang w:eastAsia="en-GB"/>
                <w14:ligatures w14:val="none"/>
              </w:rPr>
              <w:t>In 60%</w:t>
            </w:r>
            <w:r w:rsidR="00862C68" w:rsidRPr="001258F3">
              <w:rPr>
                <w:rFonts w:eastAsia="Times New Roman" w:cs="Arial"/>
                <w:b/>
                <w:bCs/>
                <w:kern w:val="0"/>
                <w:szCs w:val="22"/>
                <w:lang w:eastAsia="en-GB"/>
                <w14:ligatures w14:val="none"/>
              </w:rPr>
              <w:t> </w:t>
            </w:r>
            <w:r w:rsidR="00862C68" w:rsidRPr="001258F3">
              <w:rPr>
                <w:rFonts w:eastAsia="Times New Roman" w:cs="Arial"/>
                <w:kern w:val="0"/>
                <w:szCs w:val="22"/>
                <w:lang w:eastAsia="en-GB"/>
                <w14:ligatures w14:val="none"/>
              </w:rPr>
              <w:t>of the cases where Sport England originally objected to an application, further negotiations led to development being approved with improved or safeguarded sports provision.</w:t>
            </w:r>
          </w:p>
          <w:p w14:paraId="4A96C3E6" w14:textId="303D118B" w:rsidR="006E4934" w:rsidRPr="001258F3" w:rsidRDefault="006E4934" w:rsidP="009F260A">
            <w:pPr>
              <w:pStyle w:val="ListParagraph"/>
              <w:numPr>
                <w:ilvl w:val="0"/>
                <w:numId w:val="6"/>
              </w:numPr>
            </w:pPr>
            <w:r w:rsidRPr="001258F3">
              <w:t xml:space="preserve">Sport England does not slow down the planning system and responds to over 98% of applications within </w:t>
            </w:r>
            <w:r w:rsidR="009B0325" w:rsidRPr="001258F3">
              <w:t>21 days</w:t>
            </w:r>
          </w:p>
          <w:p w14:paraId="09F6BD24" w14:textId="184D3043" w:rsidR="001C0A8A" w:rsidRDefault="00D262E6" w:rsidP="009F260A">
            <w:pPr>
              <w:pStyle w:val="ListParagraph"/>
              <w:numPr>
                <w:ilvl w:val="0"/>
                <w:numId w:val="6"/>
              </w:numPr>
              <w:spacing w:line="259" w:lineRule="auto"/>
              <w:rPr>
                <w:rFonts w:cs="Arial"/>
              </w:rPr>
            </w:pPr>
            <w:r>
              <w:rPr>
                <w:rFonts w:cs="Arial"/>
              </w:rPr>
              <w:t xml:space="preserve">There is a </w:t>
            </w:r>
            <w:r w:rsidRPr="00A969F4">
              <w:rPr>
                <w:rFonts w:cs="Arial"/>
              </w:rPr>
              <w:t>huge stock of brownfield sites</w:t>
            </w:r>
            <w:r w:rsidR="00CA5303">
              <w:rPr>
                <w:rFonts w:cs="Arial"/>
              </w:rPr>
              <w:t xml:space="preserve"> (</w:t>
            </w:r>
            <w:r w:rsidR="008A688B">
              <w:rPr>
                <w:rFonts w:cs="Arial"/>
              </w:rPr>
              <w:t>enough to build 1.4 million homes)</w:t>
            </w:r>
            <w:r>
              <w:rPr>
                <w:rFonts w:cs="Arial"/>
              </w:rPr>
              <w:t>, many with existing planning permission, that</w:t>
            </w:r>
            <w:r w:rsidRPr="00A969F4">
              <w:rPr>
                <w:rFonts w:cs="Arial"/>
              </w:rPr>
              <w:t xml:space="preserve"> should be considered </w:t>
            </w:r>
            <w:r>
              <w:rPr>
                <w:rFonts w:cs="Arial"/>
              </w:rPr>
              <w:t>first before selling off precious playing fields</w:t>
            </w:r>
            <w:r w:rsidRPr="00A969F4">
              <w:rPr>
                <w:rFonts w:cs="Arial"/>
              </w:rPr>
              <w:t xml:space="preserve">. </w:t>
            </w:r>
            <w:r w:rsidR="001C0A8A">
              <w:rPr>
                <w:rFonts w:cs="Arial"/>
              </w:rPr>
              <w:t>However, w</w:t>
            </w:r>
            <w:r w:rsidR="001C0A8A" w:rsidRPr="00200A95">
              <w:rPr>
                <w:rFonts w:cs="Arial"/>
              </w:rPr>
              <w:t xml:space="preserve">ith housing targets rising, playing fields are seen as easy land grabs, often in desirable locations like suburbs with higher land values </w:t>
            </w:r>
          </w:p>
          <w:p w14:paraId="662234C4" w14:textId="0A687D63" w:rsidR="00D262E6" w:rsidRPr="00196DE6" w:rsidRDefault="005B7A1B" w:rsidP="009F260A">
            <w:pPr>
              <w:pStyle w:val="ListParagraph"/>
              <w:numPr>
                <w:ilvl w:val="0"/>
                <w:numId w:val="6"/>
              </w:numPr>
              <w:spacing w:line="259" w:lineRule="auto"/>
              <w:rPr>
                <w:rFonts w:cs="Arial"/>
              </w:rPr>
            </w:pPr>
            <w:r w:rsidRPr="00196DE6">
              <w:rPr>
                <w:rFonts w:cs="Arial"/>
              </w:rPr>
              <w:t>Without Sport England</w:t>
            </w:r>
            <w:r w:rsidR="003A7C46" w:rsidRPr="00196DE6">
              <w:rPr>
                <w:rFonts w:cs="Arial"/>
              </w:rPr>
              <w:t xml:space="preserve"> overseeing the situation, many </w:t>
            </w:r>
            <w:r w:rsidR="007B35D6">
              <w:rPr>
                <w:rFonts w:cs="Arial"/>
              </w:rPr>
              <w:t>c</w:t>
            </w:r>
            <w:r w:rsidR="003A7C46" w:rsidRPr="00196DE6">
              <w:rPr>
                <w:rFonts w:cs="Arial"/>
              </w:rPr>
              <w:t xml:space="preserve">ouncils will </w:t>
            </w:r>
            <w:r w:rsidR="00145386" w:rsidRPr="00196DE6">
              <w:rPr>
                <w:rFonts w:cs="Arial"/>
              </w:rPr>
              <w:t>follow the path of least resistance and hive off precious playing fields to meet their housing targets and</w:t>
            </w:r>
            <w:r w:rsidR="00214BD1">
              <w:rPr>
                <w:rFonts w:cs="Arial"/>
              </w:rPr>
              <w:t xml:space="preserve"> raise money</w:t>
            </w:r>
            <w:r w:rsidR="00145386" w:rsidRPr="00196DE6">
              <w:rPr>
                <w:rFonts w:cs="Arial"/>
              </w:rPr>
              <w:t xml:space="preserve">. </w:t>
            </w:r>
            <w:r w:rsidR="002A218B" w:rsidRPr="00196DE6">
              <w:rPr>
                <w:rFonts w:cs="Arial"/>
              </w:rPr>
              <w:t xml:space="preserve">Selling off </w:t>
            </w:r>
            <w:r w:rsidR="00525FE8">
              <w:rPr>
                <w:rFonts w:cs="Arial"/>
              </w:rPr>
              <w:t xml:space="preserve">their own </w:t>
            </w:r>
            <w:r w:rsidR="002A218B" w:rsidRPr="00196DE6">
              <w:rPr>
                <w:rFonts w:cs="Arial"/>
              </w:rPr>
              <w:t>playing field</w:t>
            </w:r>
            <w:r w:rsidR="00525FE8">
              <w:rPr>
                <w:rFonts w:cs="Arial"/>
              </w:rPr>
              <w:t>s</w:t>
            </w:r>
            <w:r w:rsidR="002A218B" w:rsidRPr="00196DE6">
              <w:rPr>
                <w:rFonts w:cs="Arial"/>
              </w:rPr>
              <w:t xml:space="preserve"> can offer </w:t>
            </w:r>
            <w:r w:rsidR="00F844E5" w:rsidRPr="00196DE6">
              <w:rPr>
                <w:rFonts w:cs="Arial"/>
              </w:rPr>
              <w:t xml:space="preserve">a triple benefit to </w:t>
            </w:r>
            <w:r w:rsidR="007B35D6">
              <w:rPr>
                <w:rFonts w:cs="Arial"/>
              </w:rPr>
              <w:t>c</w:t>
            </w:r>
            <w:r w:rsidR="00F844E5" w:rsidRPr="00196DE6">
              <w:rPr>
                <w:rFonts w:cs="Arial"/>
              </w:rPr>
              <w:t>ouncils</w:t>
            </w:r>
            <w:r w:rsidR="004F36E2" w:rsidRPr="00196DE6">
              <w:rPr>
                <w:rFonts w:cs="Arial"/>
              </w:rPr>
              <w:t xml:space="preserve">. </w:t>
            </w:r>
            <w:r w:rsidR="004F36E2" w:rsidRPr="00196DE6">
              <w:rPr>
                <w:rFonts w:cs="Arial"/>
                <w:szCs w:val="22"/>
              </w:rPr>
              <w:t>Firstly, they receive a large capital receipt at a time when many of them are strapped for cash</w:t>
            </w:r>
            <w:r w:rsidR="00196DE6" w:rsidRPr="00196DE6">
              <w:rPr>
                <w:rFonts w:cs="Arial"/>
                <w:szCs w:val="22"/>
              </w:rPr>
              <w:t xml:space="preserve"> and </w:t>
            </w:r>
            <w:r w:rsidR="004D2D11" w:rsidRPr="00196DE6">
              <w:rPr>
                <w:rFonts w:cs="Arial"/>
              </w:rPr>
              <w:t xml:space="preserve">recent rule changes make </w:t>
            </w:r>
            <w:r w:rsidR="004E0C12">
              <w:rPr>
                <w:rFonts w:cs="Arial"/>
              </w:rPr>
              <w:t>it</w:t>
            </w:r>
            <w:r w:rsidR="004D2D11" w:rsidRPr="00196DE6">
              <w:rPr>
                <w:rFonts w:cs="Arial"/>
              </w:rPr>
              <w:t xml:space="preserve"> easier</w:t>
            </w:r>
            <w:r w:rsidR="004E0C12">
              <w:rPr>
                <w:rFonts w:cs="Arial"/>
              </w:rPr>
              <w:t xml:space="preserve"> to </w:t>
            </w:r>
            <w:r w:rsidR="00C438E5">
              <w:rPr>
                <w:rFonts w:cs="Arial"/>
              </w:rPr>
              <w:t>use the</w:t>
            </w:r>
            <w:r w:rsidR="003D79C4">
              <w:rPr>
                <w:rFonts w:cs="Arial"/>
              </w:rPr>
              <w:t xml:space="preserve"> </w:t>
            </w:r>
            <w:r w:rsidR="00891237">
              <w:rPr>
                <w:rFonts w:cs="Arial"/>
              </w:rPr>
              <w:t xml:space="preserve">money to plug revenue </w:t>
            </w:r>
            <w:r w:rsidR="003F31CE">
              <w:rPr>
                <w:rFonts w:cs="Arial"/>
              </w:rPr>
              <w:t>deficits</w:t>
            </w:r>
            <w:r w:rsidR="004D2D11" w:rsidRPr="00196DE6">
              <w:rPr>
                <w:rFonts w:cs="Arial"/>
              </w:rPr>
              <w:t xml:space="preserve">. </w:t>
            </w:r>
            <w:r w:rsidR="004F36E2" w:rsidRPr="00196DE6">
              <w:rPr>
                <w:rFonts w:cs="Arial"/>
                <w:szCs w:val="22"/>
              </w:rPr>
              <w:t>Secondly, they have access to easy space to help meet their challenging house targets</w:t>
            </w:r>
            <w:r w:rsidR="001B2D61" w:rsidRPr="00196DE6">
              <w:rPr>
                <w:rFonts w:cs="Arial"/>
                <w:szCs w:val="22"/>
              </w:rPr>
              <w:t xml:space="preserve"> without any complicated construction</w:t>
            </w:r>
            <w:r w:rsidR="003352E9" w:rsidRPr="00196DE6">
              <w:rPr>
                <w:rFonts w:cs="Arial"/>
                <w:szCs w:val="22"/>
              </w:rPr>
              <w:t xml:space="preserve">/access </w:t>
            </w:r>
            <w:r w:rsidR="001B2D61" w:rsidRPr="00196DE6">
              <w:rPr>
                <w:rFonts w:cs="Arial"/>
                <w:szCs w:val="22"/>
              </w:rPr>
              <w:t>issues</w:t>
            </w:r>
            <w:r w:rsidR="004F36E2" w:rsidRPr="00196DE6">
              <w:rPr>
                <w:rFonts w:cs="Arial"/>
                <w:szCs w:val="22"/>
              </w:rPr>
              <w:t xml:space="preserve">. Finally, they remove in one fell swoop </w:t>
            </w:r>
            <w:proofErr w:type="gramStart"/>
            <w:r w:rsidR="004F36E2" w:rsidRPr="00196DE6">
              <w:rPr>
                <w:rFonts w:cs="Arial"/>
                <w:szCs w:val="22"/>
              </w:rPr>
              <w:t>all of</w:t>
            </w:r>
            <w:proofErr w:type="gramEnd"/>
            <w:r w:rsidR="004F36E2" w:rsidRPr="00196DE6">
              <w:rPr>
                <w:rFonts w:cs="Arial"/>
                <w:szCs w:val="22"/>
              </w:rPr>
              <w:t xml:space="preserve"> the management and maintenance liabilities involved in operating playing fields.</w:t>
            </w:r>
            <w:r w:rsidR="002A218B" w:rsidRPr="00196DE6">
              <w:rPr>
                <w:rFonts w:cs="Arial"/>
              </w:rPr>
              <w:t xml:space="preserve"> </w:t>
            </w:r>
          </w:p>
          <w:p w14:paraId="1C7F9920" w14:textId="77777777" w:rsidR="00D262E6" w:rsidRDefault="00D262E6" w:rsidP="00D262E6">
            <w:pPr>
              <w:pStyle w:val="ListParagraph"/>
            </w:pPr>
          </w:p>
          <w:p w14:paraId="550324D2" w14:textId="1BAD994B" w:rsidR="006E4934" w:rsidRDefault="006E4934" w:rsidP="00D56D1D">
            <w:pPr>
              <w:pStyle w:val="ListParagraph"/>
            </w:pPr>
          </w:p>
        </w:tc>
      </w:tr>
      <w:tr w:rsidR="00613273" w14:paraId="37F4F06D" w14:textId="77777777" w:rsidTr="00F32882">
        <w:tc>
          <w:tcPr>
            <w:tcW w:w="2693" w:type="dxa"/>
            <w:tcBorders>
              <w:top w:val="single" w:sz="4" w:space="0" w:color="auto"/>
              <w:left w:val="nil"/>
              <w:bottom w:val="nil"/>
              <w:right w:val="nil"/>
            </w:tcBorders>
          </w:tcPr>
          <w:p w14:paraId="35689517" w14:textId="77777777" w:rsidR="00613273" w:rsidRDefault="00613273" w:rsidP="00877488"/>
          <w:p w14:paraId="2C0401B9" w14:textId="77777777" w:rsidR="001F20F4" w:rsidRDefault="001F20F4" w:rsidP="00877488"/>
          <w:p w14:paraId="41F5A8BB" w14:textId="77777777" w:rsidR="001F20F4" w:rsidRDefault="001F20F4" w:rsidP="00877488"/>
          <w:p w14:paraId="06A22427" w14:textId="77777777" w:rsidR="001F20F4" w:rsidRDefault="001F20F4" w:rsidP="00877488"/>
          <w:p w14:paraId="76A5B746" w14:textId="77777777" w:rsidR="001F20F4" w:rsidRDefault="001F20F4" w:rsidP="00877488"/>
          <w:p w14:paraId="3DE179B0" w14:textId="77777777" w:rsidR="00A560A7" w:rsidRDefault="00A560A7" w:rsidP="00877488"/>
          <w:p w14:paraId="1AF8DF9A" w14:textId="77777777" w:rsidR="00A560A7" w:rsidRDefault="00A560A7" w:rsidP="00877488"/>
          <w:p w14:paraId="131D727C" w14:textId="77777777" w:rsidR="00A560A7" w:rsidRDefault="00A560A7" w:rsidP="00877488"/>
          <w:p w14:paraId="69735975" w14:textId="77777777" w:rsidR="00A560A7" w:rsidRDefault="00A560A7" w:rsidP="00877488"/>
          <w:p w14:paraId="79844462" w14:textId="77777777" w:rsidR="001F20F4" w:rsidRDefault="001F20F4" w:rsidP="00877488"/>
          <w:p w14:paraId="4E679282" w14:textId="77777777" w:rsidR="001F20F4" w:rsidRDefault="001F20F4" w:rsidP="00877488"/>
        </w:tc>
        <w:tc>
          <w:tcPr>
            <w:tcW w:w="10910" w:type="dxa"/>
            <w:tcBorders>
              <w:top w:val="single" w:sz="4" w:space="0" w:color="auto"/>
              <w:left w:val="nil"/>
              <w:bottom w:val="nil"/>
              <w:right w:val="nil"/>
            </w:tcBorders>
          </w:tcPr>
          <w:p w14:paraId="1B450C15" w14:textId="77777777" w:rsidR="00613273" w:rsidRDefault="00613273" w:rsidP="00F27406"/>
          <w:p w14:paraId="23C17FF6" w14:textId="77777777" w:rsidR="000E1EC4" w:rsidRDefault="000E1EC4" w:rsidP="00F27406"/>
          <w:p w14:paraId="766C6894" w14:textId="77777777" w:rsidR="000E1EC4" w:rsidRDefault="000E1EC4" w:rsidP="00F27406"/>
        </w:tc>
      </w:tr>
      <w:tr w:rsidR="006E4934" w14:paraId="65AE23A8" w14:textId="77777777" w:rsidTr="00EC7203">
        <w:tc>
          <w:tcPr>
            <w:tcW w:w="13603" w:type="dxa"/>
            <w:gridSpan w:val="2"/>
            <w:tcBorders>
              <w:top w:val="single" w:sz="4" w:space="0" w:color="auto"/>
              <w:bottom w:val="single" w:sz="4" w:space="0" w:color="auto"/>
            </w:tcBorders>
            <w:shd w:val="clear" w:color="auto" w:fill="D1D1D1" w:themeFill="background2" w:themeFillShade="E6"/>
          </w:tcPr>
          <w:p w14:paraId="01A658ED" w14:textId="4DAD188D" w:rsidR="006E4934" w:rsidRPr="00D87A2B" w:rsidRDefault="006E4934" w:rsidP="00D87A2B">
            <w:pPr>
              <w:ind w:left="-45"/>
              <w:rPr>
                <w:b/>
                <w:bCs/>
              </w:rPr>
            </w:pPr>
            <w:r w:rsidRPr="00D87A2B">
              <w:rPr>
                <w:b/>
                <w:bCs/>
              </w:rPr>
              <w:lastRenderedPageBreak/>
              <w:t>4. In relation to notification requirements for Sport England, should substantial loss of an existing playing field be defined as: 20%; a figure below 20%; a figure above 20%; an alternative approach. Please explain your answer/reasoning if possible.</w:t>
            </w:r>
          </w:p>
        </w:tc>
      </w:tr>
      <w:tr w:rsidR="006E4934" w14:paraId="1E1BA7B9" w14:textId="77777777" w:rsidTr="00EC7203">
        <w:tc>
          <w:tcPr>
            <w:tcW w:w="2693" w:type="dxa"/>
            <w:tcBorders>
              <w:bottom w:val="single" w:sz="4" w:space="0" w:color="auto"/>
            </w:tcBorders>
          </w:tcPr>
          <w:p w14:paraId="58D1D115" w14:textId="4F452622" w:rsidR="00F27406" w:rsidRDefault="00F27406" w:rsidP="00877488">
            <w:r>
              <w:t>Checkbox response</w:t>
            </w:r>
          </w:p>
          <w:p w14:paraId="653F6D54" w14:textId="77777777" w:rsidR="00F27406" w:rsidRDefault="00F27406" w:rsidP="00877488"/>
          <w:p w14:paraId="4CB4987A" w14:textId="044EFCA8" w:rsidR="006E4934" w:rsidRPr="00617CCA" w:rsidRDefault="006E4934" w:rsidP="00877488">
            <w:pPr>
              <w:rPr>
                <w:b/>
                <w:bCs/>
              </w:rPr>
            </w:pPr>
            <w:r w:rsidRPr="00617CCA">
              <w:rPr>
                <w:b/>
                <w:bCs/>
              </w:rPr>
              <w:t>An alternative approach</w:t>
            </w:r>
          </w:p>
        </w:tc>
        <w:tc>
          <w:tcPr>
            <w:tcW w:w="10910" w:type="dxa"/>
            <w:tcBorders>
              <w:bottom w:val="single" w:sz="4" w:space="0" w:color="auto"/>
            </w:tcBorders>
          </w:tcPr>
          <w:p w14:paraId="40173B60" w14:textId="5EEAC11B" w:rsidR="00F27406" w:rsidRDefault="00F27406" w:rsidP="00F27406">
            <w:r>
              <w:t>Textbox response</w:t>
            </w:r>
            <w:r w:rsidR="0014353D">
              <w:t>:</w:t>
            </w:r>
          </w:p>
          <w:p w14:paraId="4F029B44" w14:textId="77777777" w:rsidR="004755E1" w:rsidRDefault="004755E1" w:rsidP="00F27406"/>
          <w:p w14:paraId="2E7D36C3" w14:textId="2F79A035" w:rsidR="006E4934" w:rsidRDefault="006E4934" w:rsidP="004D123D">
            <w:pPr>
              <w:pStyle w:val="ListParagraph"/>
              <w:numPr>
                <w:ilvl w:val="0"/>
                <w:numId w:val="3"/>
              </w:numPr>
            </w:pPr>
            <w:r>
              <w:t>We strongly oppose the proposal to remove Sport England as a statutory consultee. Sport England’s role within the planning system is crucial for protecting and enhancing playing fields</w:t>
            </w:r>
            <w:r w:rsidR="006C61E8">
              <w:t xml:space="preserve"> and LPFF’s mantra is “no net loss of pitches</w:t>
            </w:r>
            <w:r w:rsidR="00DB1192">
              <w:t>”</w:t>
            </w:r>
            <w:r w:rsidR="00335E2D">
              <w:t xml:space="preserve"> which is crucial in a city with 33 local authorities and </w:t>
            </w:r>
            <w:r w:rsidR="00912F49">
              <w:t>an uneven distribution of playing fields stock.</w:t>
            </w:r>
          </w:p>
          <w:p w14:paraId="082DD6A6" w14:textId="4A1514BB" w:rsidR="004D123D" w:rsidRPr="009E24AD" w:rsidRDefault="006E4934" w:rsidP="004D123D">
            <w:pPr>
              <w:pStyle w:val="ListParagraph"/>
              <w:numPr>
                <w:ilvl w:val="0"/>
                <w:numId w:val="3"/>
              </w:numPr>
              <w:spacing w:line="259" w:lineRule="auto"/>
              <w:rPr>
                <w:rFonts w:cs="Arial"/>
              </w:rPr>
            </w:pPr>
            <w:r>
              <w:t xml:space="preserve">We do not agree with the proposed duty to notify as without formal statutory consultee status, Sport England’s views on proposed developments would not be given any additional weight. </w:t>
            </w:r>
            <w:r w:rsidR="004D123D" w:rsidRPr="003526CF">
              <w:rPr>
                <w:rFonts w:cs="Arial"/>
              </w:rPr>
              <w:t>If councils are</w:t>
            </w:r>
            <w:r w:rsidR="007350CE">
              <w:rPr>
                <w:rFonts w:cs="Arial"/>
              </w:rPr>
              <w:t xml:space="preserve"> not</w:t>
            </w:r>
            <w:r w:rsidR="004D123D" w:rsidRPr="003526CF">
              <w:rPr>
                <w:rFonts w:cs="Arial"/>
              </w:rPr>
              <w:t xml:space="preserve"> required to notify Sport England, many planning applications will slip through unnoticed</w:t>
            </w:r>
          </w:p>
          <w:p w14:paraId="78FBECFF" w14:textId="4753DFB1" w:rsidR="004D123D" w:rsidRDefault="006E4934" w:rsidP="004D123D">
            <w:pPr>
              <w:pStyle w:val="ListParagraph"/>
              <w:numPr>
                <w:ilvl w:val="0"/>
                <w:numId w:val="3"/>
              </w:numPr>
            </w:pPr>
            <w:r>
              <w:t xml:space="preserve">It is also unlikely </w:t>
            </w:r>
            <w:r w:rsidR="004D123D">
              <w:t xml:space="preserve">that </w:t>
            </w:r>
            <w:r>
              <w:t xml:space="preserve">Sport England </w:t>
            </w:r>
            <w:r w:rsidR="004D123D">
              <w:t xml:space="preserve">with a </w:t>
            </w:r>
            <w:r w:rsidR="00555FE9">
              <w:t xml:space="preserve">diminished role </w:t>
            </w:r>
            <w:r>
              <w:t xml:space="preserve">would </w:t>
            </w:r>
            <w:r w:rsidR="00555FE9">
              <w:t xml:space="preserve">have the capacity </w:t>
            </w:r>
            <w:r>
              <w:t xml:space="preserve">to support an extensive planning function to respond to the volume of applications which might arise. </w:t>
            </w:r>
            <w:r w:rsidR="00555FE9">
              <w:t xml:space="preserve">Furthermore, </w:t>
            </w:r>
            <w:r w:rsidR="00FB4EDC">
              <w:t>w</w:t>
            </w:r>
            <w:r w:rsidR="00555FE9" w:rsidRPr="003526CF">
              <w:rPr>
                <w:rFonts w:cs="Arial"/>
              </w:rPr>
              <w:t xml:space="preserve">ithout statutory status, Sport England’s advice </w:t>
            </w:r>
            <w:r w:rsidR="00555FE9">
              <w:rPr>
                <w:rFonts w:cs="Arial"/>
              </w:rPr>
              <w:t>will carry</w:t>
            </w:r>
            <w:r w:rsidR="00555FE9" w:rsidRPr="003526CF">
              <w:rPr>
                <w:rFonts w:cs="Arial"/>
              </w:rPr>
              <w:t xml:space="preserve"> less weigh</w:t>
            </w:r>
            <w:r w:rsidR="00555FE9">
              <w:rPr>
                <w:rFonts w:cs="Arial"/>
              </w:rPr>
              <w:t xml:space="preserve"> and </w:t>
            </w:r>
            <w:r w:rsidR="00555FE9" w:rsidRPr="003526CF">
              <w:rPr>
                <w:rFonts w:cs="Arial"/>
              </w:rPr>
              <w:t>developers and councils can ignore it.</w:t>
            </w:r>
          </w:p>
          <w:p w14:paraId="02F61D4C" w14:textId="25C937EE" w:rsidR="006E4934" w:rsidRDefault="006D203A" w:rsidP="004D123D">
            <w:pPr>
              <w:pStyle w:val="ListParagraph"/>
              <w:numPr>
                <w:ilvl w:val="0"/>
                <w:numId w:val="3"/>
              </w:numPr>
            </w:pPr>
            <w:r>
              <w:t>W</w:t>
            </w:r>
            <w:r w:rsidR="006E4934">
              <w:t>e do not believe it is possible to establish a meaningful threshold for the ‘substantial loss’ of playing field land as this will be dependent on the context of each individual site</w:t>
            </w:r>
            <w:r>
              <w:t xml:space="preserve"> and </w:t>
            </w:r>
            <w:r w:rsidR="00D8060A">
              <w:t>fields come in all shapes and sizes</w:t>
            </w:r>
            <w:r w:rsidR="00891207">
              <w:t>.</w:t>
            </w:r>
            <w:r w:rsidR="00D8060A">
              <w:t xml:space="preserve"> In some case on larger sites</w:t>
            </w:r>
            <w:r w:rsidR="0022363C">
              <w:t xml:space="preserve"> (of say 40 acres)</w:t>
            </w:r>
            <w:r w:rsidR="00D8060A">
              <w:t xml:space="preserve"> 20%</w:t>
            </w:r>
            <w:r w:rsidR="006619B8">
              <w:t xml:space="preserve"> could </w:t>
            </w:r>
            <w:r w:rsidR="00431A04">
              <w:t>represent three 11v11 pitches or ten mini-soccer pitches. London Marathon Playing Field Greenwich (owned by LPFF) is 9 acres and provi</w:t>
            </w:r>
            <w:r w:rsidR="004C12FF">
              <w:t xml:space="preserve">des eight 7v7 and two 9v9 pitches catering for </w:t>
            </w:r>
            <w:r w:rsidR="00935765">
              <w:t xml:space="preserve">up to 1,000 children over the course of the weekend. </w:t>
            </w:r>
            <w:r w:rsidR="00581A19">
              <w:t>T</w:t>
            </w:r>
            <w:r w:rsidR="00935765">
              <w:t xml:space="preserve">hat kind of drop in participation </w:t>
            </w:r>
            <w:r w:rsidR="00581A19">
              <w:t>is hardly consistent with the</w:t>
            </w:r>
            <w:r w:rsidR="0072369D">
              <w:t xml:space="preserve"> </w:t>
            </w:r>
            <w:r w:rsidR="00EE4AC6">
              <w:t xml:space="preserve">Government’s public health objectives of </w:t>
            </w:r>
            <w:r w:rsidR="00EE4AC6" w:rsidRPr="00FA08E6">
              <w:t>tackling inactivity w</w:t>
            </w:r>
            <w:r w:rsidR="00EE4AC6">
              <w:t>hich is</w:t>
            </w:r>
            <w:r w:rsidR="00EE4AC6" w:rsidRPr="00FA08E6">
              <w:t xml:space="preserve"> "at the heart of </w:t>
            </w:r>
            <w:r w:rsidR="00EE4AC6">
              <w:t>the</w:t>
            </w:r>
            <w:r w:rsidR="00EE4AC6" w:rsidRPr="00FA08E6">
              <w:t xml:space="preserve"> preventative health agenda".</w:t>
            </w:r>
          </w:p>
          <w:p w14:paraId="474A54EA" w14:textId="1FFCD51F" w:rsidR="006E4934" w:rsidRDefault="00F745F5" w:rsidP="004D123D">
            <w:pPr>
              <w:pStyle w:val="ListParagraph"/>
              <w:numPr>
                <w:ilvl w:val="0"/>
                <w:numId w:val="3"/>
              </w:numPr>
              <w:spacing w:line="259" w:lineRule="auto"/>
            </w:pPr>
            <w:r w:rsidRPr="00F745F5">
              <w:t xml:space="preserve">The proposal </w:t>
            </w:r>
            <w:r w:rsidRPr="007B35D6">
              <w:rPr>
                <w:szCs w:val="22"/>
              </w:rPr>
              <w:t xml:space="preserve">that schools could redevelop 20% of their playing fields without reference to Sport England is a particular concern. Schools provide 43% of the nations’ playing fields and at a time when </w:t>
            </w:r>
            <w:r w:rsidR="009E3EBB" w:rsidRPr="007B35D6">
              <w:rPr>
                <w:szCs w:val="22"/>
              </w:rPr>
              <w:t>one in four Year 6 children in London</w:t>
            </w:r>
            <w:r w:rsidR="00DC71D8" w:rsidRPr="007B35D6">
              <w:rPr>
                <w:szCs w:val="22"/>
              </w:rPr>
              <w:t xml:space="preserve"> are obese </w:t>
            </w:r>
            <w:r w:rsidR="005263B7" w:rsidRPr="007B35D6">
              <w:rPr>
                <w:szCs w:val="22"/>
              </w:rPr>
              <w:t xml:space="preserve">can schools </w:t>
            </w:r>
            <w:r w:rsidR="00B3479F" w:rsidRPr="007B35D6">
              <w:rPr>
                <w:szCs w:val="22"/>
              </w:rPr>
              <w:t>really afford to give up the ve</w:t>
            </w:r>
            <w:r w:rsidR="00780D9F" w:rsidRPr="007B35D6">
              <w:rPr>
                <w:szCs w:val="22"/>
              </w:rPr>
              <w:t xml:space="preserve">ry </w:t>
            </w:r>
            <w:r w:rsidR="00B3479F" w:rsidRPr="007B35D6">
              <w:rPr>
                <w:szCs w:val="22"/>
              </w:rPr>
              <w:t>space where pupils can lead more active lives</w:t>
            </w:r>
            <w:r w:rsidR="003A5E09">
              <w:rPr>
                <w:szCs w:val="22"/>
              </w:rPr>
              <w:t>?</w:t>
            </w:r>
            <w:r w:rsidRPr="007B35D6">
              <w:rPr>
                <w:szCs w:val="22"/>
              </w:rPr>
              <w:t xml:space="preserve"> </w:t>
            </w:r>
            <w:r w:rsidR="003F147B" w:rsidRPr="007B35D6">
              <w:rPr>
                <w:szCs w:val="22"/>
              </w:rPr>
              <w:t>How can we prevent</w:t>
            </w:r>
            <w:r w:rsidR="004F693D" w:rsidRPr="007B35D6">
              <w:rPr>
                <w:szCs w:val="22"/>
              </w:rPr>
              <w:t xml:space="preserve"> this insidious erosion of </w:t>
            </w:r>
            <w:r w:rsidR="003A5E09">
              <w:rPr>
                <w:szCs w:val="22"/>
              </w:rPr>
              <w:t xml:space="preserve">school </w:t>
            </w:r>
            <w:r w:rsidR="004F693D" w:rsidRPr="007B35D6">
              <w:rPr>
                <w:szCs w:val="22"/>
              </w:rPr>
              <w:t>playing fields</w:t>
            </w:r>
            <w:r w:rsidR="003F147B" w:rsidRPr="007B35D6">
              <w:rPr>
                <w:szCs w:val="22"/>
              </w:rPr>
              <w:t xml:space="preserve"> if Sport England has dimi</w:t>
            </w:r>
            <w:r w:rsidR="00420E44" w:rsidRPr="007B35D6">
              <w:rPr>
                <w:szCs w:val="22"/>
              </w:rPr>
              <w:t>nished powers?</w:t>
            </w:r>
          </w:p>
        </w:tc>
      </w:tr>
      <w:tr w:rsidR="00613273" w14:paraId="3B3EAE62" w14:textId="77777777" w:rsidTr="00EC7203">
        <w:tc>
          <w:tcPr>
            <w:tcW w:w="13603" w:type="dxa"/>
            <w:gridSpan w:val="2"/>
            <w:tcBorders>
              <w:top w:val="single" w:sz="4" w:space="0" w:color="auto"/>
              <w:left w:val="nil"/>
              <w:bottom w:val="single" w:sz="4" w:space="0" w:color="auto"/>
              <w:right w:val="nil"/>
            </w:tcBorders>
          </w:tcPr>
          <w:p w14:paraId="0E1945B1" w14:textId="77777777" w:rsidR="00EC7203" w:rsidRDefault="00EC7203" w:rsidP="00EC7203">
            <w:pPr>
              <w:rPr>
                <w:b/>
                <w:bCs/>
              </w:rPr>
            </w:pPr>
          </w:p>
          <w:p w14:paraId="178AC264" w14:textId="77777777" w:rsidR="00EC7203" w:rsidRDefault="00EC7203" w:rsidP="00EC7203">
            <w:pPr>
              <w:rPr>
                <w:b/>
                <w:bCs/>
              </w:rPr>
            </w:pPr>
          </w:p>
          <w:p w14:paraId="037EEB71" w14:textId="77777777" w:rsidR="001F20F4" w:rsidRDefault="001F20F4" w:rsidP="00A4533A">
            <w:pPr>
              <w:ind w:left="-45"/>
              <w:rPr>
                <w:b/>
                <w:bCs/>
              </w:rPr>
            </w:pPr>
          </w:p>
          <w:p w14:paraId="20C618D9" w14:textId="77777777" w:rsidR="001F20F4" w:rsidRDefault="001F20F4" w:rsidP="00A4533A">
            <w:pPr>
              <w:ind w:left="-45"/>
              <w:rPr>
                <w:b/>
                <w:bCs/>
              </w:rPr>
            </w:pPr>
          </w:p>
          <w:p w14:paraId="174A1384" w14:textId="77777777" w:rsidR="001F20F4" w:rsidRDefault="001F20F4" w:rsidP="00A4533A">
            <w:pPr>
              <w:ind w:left="-45"/>
              <w:rPr>
                <w:b/>
                <w:bCs/>
              </w:rPr>
            </w:pPr>
          </w:p>
          <w:p w14:paraId="1FD14B33" w14:textId="77777777" w:rsidR="001F20F4" w:rsidRPr="00BF5838" w:rsidRDefault="001F20F4" w:rsidP="00A4533A">
            <w:pPr>
              <w:ind w:left="-45"/>
              <w:rPr>
                <w:b/>
                <w:bCs/>
              </w:rPr>
            </w:pPr>
          </w:p>
        </w:tc>
      </w:tr>
      <w:tr w:rsidR="00A4533A" w14:paraId="2409ED72" w14:textId="77777777" w:rsidTr="00EC7203">
        <w:tc>
          <w:tcPr>
            <w:tcW w:w="13603" w:type="dxa"/>
            <w:gridSpan w:val="2"/>
            <w:tcBorders>
              <w:top w:val="single" w:sz="4" w:space="0" w:color="auto"/>
            </w:tcBorders>
            <w:shd w:val="clear" w:color="auto" w:fill="D1D1D1" w:themeFill="background2" w:themeFillShade="E6"/>
          </w:tcPr>
          <w:p w14:paraId="64C99299" w14:textId="185F41D5" w:rsidR="00A4533A" w:rsidRPr="00A4533A" w:rsidRDefault="00BF5838" w:rsidP="00A4533A">
            <w:pPr>
              <w:ind w:left="-45"/>
              <w:rPr>
                <w:b/>
                <w:bCs/>
              </w:rPr>
            </w:pPr>
            <w:r w:rsidRPr="00BF5838">
              <w:rPr>
                <w:b/>
                <w:bCs/>
              </w:rPr>
              <w:lastRenderedPageBreak/>
              <w:t xml:space="preserve">5. Are there impacts of the removal of Sport England as a statutory consultee, or the proposed mitigations, that you think the government should </w:t>
            </w:r>
            <w:proofErr w:type="gramStart"/>
            <w:r w:rsidRPr="00BF5838">
              <w:rPr>
                <w:b/>
                <w:bCs/>
              </w:rPr>
              <w:t>take into account</w:t>
            </w:r>
            <w:proofErr w:type="gramEnd"/>
            <w:r w:rsidRPr="00BF5838">
              <w:rPr>
                <w:b/>
                <w:bCs/>
              </w:rPr>
              <w:t xml:space="preserve"> in making a final decision?</w:t>
            </w:r>
          </w:p>
        </w:tc>
      </w:tr>
      <w:tr w:rsidR="006E4934" w14:paraId="4412F127" w14:textId="77777777" w:rsidTr="00F36A58">
        <w:tc>
          <w:tcPr>
            <w:tcW w:w="2693" w:type="dxa"/>
          </w:tcPr>
          <w:p w14:paraId="22EBA6DB" w14:textId="6519D5AF" w:rsidR="00BF5838" w:rsidRDefault="00BF5838" w:rsidP="00877488">
            <w:r>
              <w:t>Checkbox response</w:t>
            </w:r>
          </w:p>
          <w:p w14:paraId="7F891CA8" w14:textId="77777777" w:rsidR="00BF5838" w:rsidRDefault="00BF5838" w:rsidP="00877488"/>
          <w:p w14:paraId="1FF38558" w14:textId="4BDF9CE5" w:rsidR="006E4934" w:rsidRDefault="006E4934" w:rsidP="00877488"/>
        </w:tc>
        <w:tc>
          <w:tcPr>
            <w:tcW w:w="10910" w:type="dxa"/>
          </w:tcPr>
          <w:p w14:paraId="6850BA61" w14:textId="2DCE5049" w:rsidR="00265C73" w:rsidRDefault="00265C73" w:rsidP="00265C73">
            <w:r>
              <w:t>Textbox response</w:t>
            </w:r>
            <w:r w:rsidR="0014353D">
              <w:t>:</w:t>
            </w:r>
          </w:p>
          <w:p w14:paraId="7754A83A" w14:textId="77777777" w:rsidR="004755E1" w:rsidRDefault="004755E1" w:rsidP="00265C73"/>
          <w:p w14:paraId="40868718" w14:textId="71094F33" w:rsidR="006E4934" w:rsidRDefault="006E4934" w:rsidP="00824A61">
            <w:pPr>
              <w:pStyle w:val="ListParagraph"/>
              <w:numPr>
                <w:ilvl w:val="0"/>
                <w:numId w:val="4"/>
              </w:numPr>
              <w:ind w:left="598"/>
            </w:pPr>
            <w:r>
              <w:t>Playing fields deliver at least £2b</w:t>
            </w:r>
            <w:r w:rsidR="00780D9F">
              <w:t>il</w:t>
            </w:r>
            <w:r w:rsidR="00420E44">
              <w:t>lion</w:t>
            </w:r>
            <w:r>
              <w:t xml:space="preserve"> in improved wellbeing every year and help </w:t>
            </w:r>
            <w:r w:rsidR="00780D9F">
              <w:t>more</w:t>
            </w:r>
            <w:r>
              <w:t xml:space="preserve"> </w:t>
            </w:r>
            <w:r w:rsidR="001231B5" w:rsidRPr="00585D6F">
              <w:t>than a</w:t>
            </w:r>
            <w:r w:rsidR="001231B5">
              <w:t xml:space="preserve"> </w:t>
            </w:r>
            <w:r>
              <w:t xml:space="preserve">million people to be active, including </w:t>
            </w:r>
            <w:r w:rsidR="00420E44">
              <w:t>one</w:t>
            </w:r>
            <w:r>
              <w:t xml:space="preserve"> million children.</w:t>
            </w:r>
            <w:r w:rsidR="00AF2EE1">
              <w:t xml:space="preserve"> </w:t>
            </w:r>
            <w:r w:rsidR="00D971D2" w:rsidRPr="00D971D2">
              <w:t>It seems highly illogical at a time when inactivity will kill one in six of us, obesity rates are predicted to reach horrific levels, knife crime is rife and more of us than ever are suffering poor mental health, that we are in danger of losing those very places where people can be more active, young people can join sports teams rather than gangs and communities can come together to enjoy open space.</w:t>
            </w:r>
          </w:p>
          <w:p w14:paraId="463D8C64" w14:textId="7131C262" w:rsidR="006E4934" w:rsidRDefault="006E4934" w:rsidP="00824A61">
            <w:pPr>
              <w:pStyle w:val="ListParagraph"/>
              <w:numPr>
                <w:ilvl w:val="0"/>
                <w:numId w:val="4"/>
              </w:numPr>
              <w:ind w:left="598"/>
            </w:pPr>
            <w:r>
              <w:t>Sport England’s role as a statutory consultee means its advice is given significant weight within the planning system and ensures the potential loss of playing fields, as well as any potential mitigations or improvements, are given appropriate consideration.</w:t>
            </w:r>
          </w:p>
          <w:p w14:paraId="17A97EC3" w14:textId="409B69A3" w:rsidR="006E4934" w:rsidRDefault="006E4934" w:rsidP="00824A61">
            <w:pPr>
              <w:pStyle w:val="ListParagraph"/>
              <w:numPr>
                <w:ilvl w:val="0"/>
                <w:numId w:val="4"/>
              </w:numPr>
              <w:ind w:left="598"/>
            </w:pPr>
            <w:r>
              <w:t xml:space="preserve">Removing Sport England’s statutory role will fundamentally weaken this position and reduce its ability to protect playing fields, making it more likely they </w:t>
            </w:r>
            <w:r w:rsidR="00780D9F">
              <w:t xml:space="preserve">will be </w:t>
            </w:r>
            <w:r>
              <w:t>lost to development forever. This would run counter to Government’s objectives to grow participation in sport and to tackle inequalities.</w:t>
            </w:r>
            <w:r w:rsidR="0058428B">
              <w:t xml:space="preserve"> </w:t>
            </w:r>
            <w:r w:rsidR="0058428B" w:rsidRPr="0058428B">
              <w:t>Without a pitch to play on there can be no team sports.</w:t>
            </w:r>
          </w:p>
          <w:p w14:paraId="5991DFE1" w14:textId="5E02178B" w:rsidR="006E4934" w:rsidRDefault="006E4934" w:rsidP="00824A61">
            <w:pPr>
              <w:pStyle w:val="ListParagraph"/>
              <w:numPr>
                <w:ilvl w:val="0"/>
                <w:numId w:val="4"/>
              </w:numPr>
              <w:ind w:left="598"/>
            </w:pPr>
            <w:r>
              <w:t>Sport England’s statutory role ensures it can provide advice, guidance and interpretation to planning authorities and applicants which ensures the obligations set out in the N</w:t>
            </w:r>
            <w:r w:rsidR="007539CB">
              <w:t xml:space="preserve">ational </w:t>
            </w:r>
            <w:r>
              <w:t>P</w:t>
            </w:r>
            <w:r w:rsidR="007539CB">
              <w:t xml:space="preserve">lanning </w:t>
            </w:r>
            <w:r>
              <w:t>P</w:t>
            </w:r>
            <w:r w:rsidR="007539CB">
              <w:t xml:space="preserve">olicy </w:t>
            </w:r>
            <w:r>
              <w:t>F</w:t>
            </w:r>
            <w:r w:rsidR="007539CB">
              <w:t>ramework</w:t>
            </w:r>
            <w:r>
              <w:t xml:space="preserve"> are met. </w:t>
            </w:r>
            <w:proofErr w:type="gramStart"/>
            <w:r>
              <w:t>In particular, Sport</w:t>
            </w:r>
            <w:proofErr w:type="gramEnd"/>
            <w:r>
              <w:t xml:space="preserve"> England’s role is crucial in helping planning authorities to assess whether there is a shortfall in existing provision and, if so, how to ensure proposals make equivalent or improved provision available for local communities.</w:t>
            </w:r>
          </w:p>
          <w:p w14:paraId="33308D06" w14:textId="5CCACE3F" w:rsidR="006E4934" w:rsidRDefault="006E4934" w:rsidP="00824A61">
            <w:pPr>
              <w:pStyle w:val="ListParagraph"/>
              <w:numPr>
                <w:ilvl w:val="0"/>
                <w:numId w:val="4"/>
              </w:numPr>
              <w:ind w:left="598"/>
            </w:pPr>
            <w:r>
              <w:t>We do not believe that relying on Sport England input at the plan making stage, or on the N</w:t>
            </w:r>
            <w:r w:rsidR="00780CD9">
              <w:t xml:space="preserve">ational </w:t>
            </w:r>
            <w:r>
              <w:t>P</w:t>
            </w:r>
            <w:r w:rsidR="009F64BB">
              <w:t xml:space="preserve">lanning </w:t>
            </w:r>
            <w:r>
              <w:t>P</w:t>
            </w:r>
            <w:r w:rsidR="009F64BB">
              <w:t xml:space="preserve">olicy </w:t>
            </w:r>
            <w:r>
              <w:t>F</w:t>
            </w:r>
            <w:r w:rsidR="009F64BB">
              <w:t>ramework</w:t>
            </w:r>
            <w:r>
              <w:t xml:space="preserve"> alone, will offer sufficient protection to playing fields</w:t>
            </w:r>
            <w:r w:rsidR="00780CD9">
              <w:t>.</w:t>
            </w:r>
            <w:r>
              <w:t xml:space="preserve"> The proposed mitigations fall well short of the current position and are insufficient to provide confidence playing fields will be protected from development.</w:t>
            </w:r>
            <w:r w:rsidR="007E7505">
              <w:t xml:space="preserve"> </w:t>
            </w:r>
            <w:r w:rsidR="007E7505" w:rsidRPr="007E7505">
              <w:t xml:space="preserve">There is clear evidence that National </w:t>
            </w:r>
            <w:r w:rsidR="00780CD9">
              <w:t>P</w:t>
            </w:r>
            <w:r w:rsidR="007E7505" w:rsidRPr="007E7505">
              <w:t xml:space="preserve">lanning </w:t>
            </w:r>
            <w:r w:rsidR="00780CD9">
              <w:t>P</w:t>
            </w:r>
            <w:r w:rsidR="007E7505" w:rsidRPr="007E7505">
              <w:t>olicy alone failed to stop inappropriate developments in the past</w:t>
            </w:r>
            <w:r w:rsidR="00A84A16">
              <w:t xml:space="preserve">, with </w:t>
            </w:r>
            <w:r w:rsidR="00420E44">
              <w:t>roug</w:t>
            </w:r>
            <w:r w:rsidR="00882224">
              <w:t xml:space="preserve">hly </w:t>
            </w:r>
            <w:r w:rsidR="007E7505" w:rsidRPr="007E7505">
              <w:t xml:space="preserve">10,000 fields </w:t>
            </w:r>
            <w:r w:rsidR="00A84A16">
              <w:t>l</w:t>
            </w:r>
            <w:r w:rsidR="007E7505" w:rsidRPr="007E7505">
              <w:t>ost between 1979 and 1996.</w:t>
            </w:r>
          </w:p>
          <w:p w14:paraId="6A61DD69" w14:textId="77777777" w:rsidR="006E4934" w:rsidRDefault="006E4934" w:rsidP="00824A61">
            <w:pPr>
              <w:pStyle w:val="ListParagraph"/>
              <w:numPr>
                <w:ilvl w:val="0"/>
                <w:numId w:val="4"/>
              </w:numPr>
              <w:ind w:left="598"/>
            </w:pPr>
            <w:r>
              <w:t xml:space="preserve">Without statutory status, Sport England </w:t>
            </w:r>
            <w:r w:rsidR="006101A0">
              <w:t xml:space="preserve">will lack the </w:t>
            </w:r>
            <w:r w:rsidR="00466AE5">
              <w:t xml:space="preserve">capacity </w:t>
            </w:r>
            <w:r>
              <w:t>to retain a well-resourced planning function which would impact on its ability to fulfil its proposed role.</w:t>
            </w:r>
          </w:p>
          <w:p w14:paraId="5C4F3D82" w14:textId="003A2ADC" w:rsidR="005237B9" w:rsidRDefault="00370D57" w:rsidP="00824A61">
            <w:pPr>
              <w:pStyle w:val="ListParagraph"/>
              <w:numPr>
                <w:ilvl w:val="0"/>
                <w:numId w:val="4"/>
              </w:numPr>
              <w:ind w:left="598"/>
            </w:pPr>
            <w:r>
              <w:t xml:space="preserve">Sport and physical activity </w:t>
            </w:r>
            <w:r w:rsidR="00157800">
              <w:t>can be</w:t>
            </w:r>
            <w:r w:rsidR="001D3D22">
              <w:t xml:space="preserve"> a magic </w:t>
            </w:r>
            <w:proofErr w:type="gramStart"/>
            <w:r w:rsidR="001D3D22">
              <w:t>pill</w:t>
            </w:r>
            <w:proofErr w:type="gramEnd"/>
            <w:r w:rsidR="001D3D22">
              <w:t xml:space="preserve"> and research shows </w:t>
            </w:r>
            <w:r w:rsidR="00D51B19">
              <w:t xml:space="preserve">Londoners avoid £950million </w:t>
            </w:r>
            <w:r w:rsidR="00BD59F0">
              <w:t xml:space="preserve">per year in health costs due to </w:t>
            </w:r>
            <w:r w:rsidR="007539CB">
              <w:t xml:space="preserve">accessible </w:t>
            </w:r>
            <w:r w:rsidR="00BD59F0">
              <w:t>public green space.</w:t>
            </w:r>
          </w:p>
        </w:tc>
      </w:tr>
    </w:tbl>
    <w:p w14:paraId="2DF378C2" w14:textId="77777777" w:rsidR="00877488" w:rsidRDefault="00877488" w:rsidP="00877488"/>
    <w:p w14:paraId="0CC432BA" w14:textId="4DA61778" w:rsidR="00C41BF7" w:rsidRDefault="00C41BF7" w:rsidP="00877488"/>
    <w:sectPr w:rsidR="00C41BF7" w:rsidSect="001F20F4">
      <w:headerReference w:type="default" r:id="rId12"/>
      <w:headerReference w:type="first" r:id="rId13"/>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FA91E" w14:textId="77777777" w:rsidR="00FB6E68" w:rsidRDefault="00FB6E68" w:rsidP="00BF3830">
      <w:pPr>
        <w:spacing w:after="0" w:line="240" w:lineRule="auto"/>
      </w:pPr>
      <w:r>
        <w:separator/>
      </w:r>
    </w:p>
  </w:endnote>
  <w:endnote w:type="continuationSeparator" w:id="0">
    <w:p w14:paraId="79E7D6A4" w14:textId="77777777" w:rsidR="00FB6E68" w:rsidRDefault="00FB6E68" w:rsidP="00BF3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264E6" w14:textId="77777777" w:rsidR="00FB6E68" w:rsidRDefault="00FB6E68" w:rsidP="00BF3830">
      <w:pPr>
        <w:spacing w:after="0" w:line="240" w:lineRule="auto"/>
      </w:pPr>
      <w:r>
        <w:separator/>
      </w:r>
    </w:p>
  </w:footnote>
  <w:footnote w:type="continuationSeparator" w:id="0">
    <w:p w14:paraId="16AC5EA4" w14:textId="77777777" w:rsidR="00FB6E68" w:rsidRDefault="00FB6E68" w:rsidP="00BF3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9EE1" w14:textId="04B7D0C9" w:rsidR="00A25C9D" w:rsidRPr="00A25C9D" w:rsidRDefault="00A25C9D" w:rsidP="00A25C9D">
    <w:pPr>
      <w:pStyle w:val="Header"/>
      <w:jc w:val="center"/>
    </w:pPr>
  </w:p>
  <w:p w14:paraId="380CC3CB" w14:textId="77777777" w:rsidR="00A25C9D" w:rsidRDefault="00A25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FC5B" w14:textId="77777777" w:rsidR="001F20F4" w:rsidRDefault="001F20F4" w:rsidP="001F20F4">
    <w:pPr>
      <w:pStyle w:val="NormalWeb"/>
      <w:jc w:val="center"/>
    </w:pPr>
    <w:r>
      <w:rPr>
        <w:noProof/>
      </w:rPr>
      <w:drawing>
        <wp:inline distT="0" distB="0" distL="0" distR="0" wp14:anchorId="743B176E" wp14:editId="619E5735">
          <wp:extent cx="1094852" cy="886592"/>
          <wp:effectExtent l="0" t="0" r="0" b="8890"/>
          <wp:docPr id="1"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foundatio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8894" cy="897963"/>
                  </a:xfrm>
                  <a:prstGeom prst="rect">
                    <a:avLst/>
                  </a:prstGeom>
                  <a:noFill/>
                  <a:ln>
                    <a:noFill/>
                  </a:ln>
                </pic:spPr>
              </pic:pic>
            </a:graphicData>
          </a:graphic>
        </wp:inline>
      </w:drawing>
    </w:r>
  </w:p>
  <w:p w14:paraId="3DC1977F" w14:textId="77777777" w:rsidR="001F20F4" w:rsidRDefault="001F2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73443"/>
    <w:multiLevelType w:val="hybridMultilevel"/>
    <w:tmpl w:val="197E4918"/>
    <w:lvl w:ilvl="0" w:tplc="77E878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4C5AE6"/>
    <w:multiLevelType w:val="hybridMultilevel"/>
    <w:tmpl w:val="CA907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BB2210"/>
    <w:multiLevelType w:val="multilevel"/>
    <w:tmpl w:val="FF14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D5579"/>
    <w:multiLevelType w:val="hybridMultilevel"/>
    <w:tmpl w:val="E30264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7F77AB"/>
    <w:multiLevelType w:val="hybridMultilevel"/>
    <w:tmpl w:val="4CEEC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346EE1"/>
    <w:multiLevelType w:val="hybridMultilevel"/>
    <w:tmpl w:val="815C4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A75ED4"/>
    <w:multiLevelType w:val="hybridMultilevel"/>
    <w:tmpl w:val="43A441FE"/>
    <w:lvl w:ilvl="0" w:tplc="08090001">
      <w:start w:val="1"/>
      <w:numFmt w:val="bullet"/>
      <w:lvlText w:val=""/>
      <w:lvlJc w:val="left"/>
      <w:pPr>
        <w:ind w:left="720" w:hanging="360"/>
      </w:pPr>
      <w:rPr>
        <w:rFonts w:ascii="Symbol" w:hAnsi="Symbol" w:hint="default"/>
      </w:rPr>
    </w:lvl>
    <w:lvl w:ilvl="1" w:tplc="413E510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068685">
    <w:abstractNumId w:val="6"/>
  </w:num>
  <w:num w:numId="2" w16cid:durableId="718549170">
    <w:abstractNumId w:val="3"/>
  </w:num>
  <w:num w:numId="3" w16cid:durableId="1223640864">
    <w:abstractNumId w:val="4"/>
  </w:num>
  <w:num w:numId="4" w16cid:durableId="1321619159">
    <w:abstractNumId w:val="5"/>
  </w:num>
  <w:num w:numId="5" w16cid:durableId="460881255">
    <w:abstractNumId w:val="1"/>
  </w:num>
  <w:num w:numId="6" w16cid:durableId="565724031">
    <w:abstractNumId w:val="0"/>
  </w:num>
  <w:num w:numId="7" w16cid:durableId="1501507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88"/>
    <w:rsid w:val="00014EEF"/>
    <w:rsid w:val="000152A7"/>
    <w:rsid w:val="0003621B"/>
    <w:rsid w:val="0004509A"/>
    <w:rsid w:val="00062386"/>
    <w:rsid w:val="000628C4"/>
    <w:rsid w:val="0007354B"/>
    <w:rsid w:val="00074B21"/>
    <w:rsid w:val="00086733"/>
    <w:rsid w:val="00091682"/>
    <w:rsid w:val="0009365C"/>
    <w:rsid w:val="00095428"/>
    <w:rsid w:val="00097172"/>
    <w:rsid w:val="000E1EC4"/>
    <w:rsid w:val="000E5F5B"/>
    <w:rsid w:val="000F31A9"/>
    <w:rsid w:val="0012024C"/>
    <w:rsid w:val="00123085"/>
    <w:rsid w:val="001231B5"/>
    <w:rsid w:val="001258F3"/>
    <w:rsid w:val="0014353D"/>
    <w:rsid w:val="00145386"/>
    <w:rsid w:val="00157800"/>
    <w:rsid w:val="00196DE6"/>
    <w:rsid w:val="001B2D61"/>
    <w:rsid w:val="001B5810"/>
    <w:rsid w:val="001C0A8A"/>
    <w:rsid w:val="001C41B8"/>
    <w:rsid w:val="001C6EAF"/>
    <w:rsid w:val="001D3D22"/>
    <w:rsid w:val="001E099A"/>
    <w:rsid w:val="001F20F4"/>
    <w:rsid w:val="001F3F4B"/>
    <w:rsid w:val="00205092"/>
    <w:rsid w:val="00214BD1"/>
    <w:rsid w:val="0021679A"/>
    <w:rsid w:val="0022363C"/>
    <w:rsid w:val="00230402"/>
    <w:rsid w:val="00254BB2"/>
    <w:rsid w:val="00265C73"/>
    <w:rsid w:val="002A218B"/>
    <w:rsid w:val="002B0AC9"/>
    <w:rsid w:val="002B1695"/>
    <w:rsid w:val="002B3342"/>
    <w:rsid w:val="002B6E15"/>
    <w:rsid w:val="002C3DAB"/>
    <w:rsid w:val="002D4EC6"/>
    <w:rsid w:val="002D78E2"/>
    <w:rsid w:val="003055A6"/>
    <w:rsid w:val="00316D48"/>
    <w:rsid w:val="003352E9"/>
    <w:rsid w:val="00335E2D"/>
    <w:rsid w:val="003449E7"/>
    <w:rsid w:val="00360153"/>
    <w:rsid w:val="00364B52"/>
    <w:rsid w:val="00370D57"/>
    <w:rsid w:val="00373B86"/>
    <w:rsid w:val="003760BA"/>
    <w:rsid w:val="00390B71"/>
    <w:rsid w:val="003A5E09"/>
    <w:rsid w:val="003A7C46"/>
    <w:rsid w:val="003D79C4"/>
    <w:rsid w:val="003E02ED"/>
    <w:rsid w:val="003F147B"/>
    <w:rsid w:val="003F31CE"/>
    <w:rsid w:val="00420E44"/>
    <w:rsid w:val="00431A04"/>
    <w:rsid w:val="00437AC3"/>
    <w:rsid w:val="00440D4F"/>
    <w:rsid w:val="004449E9"/>
    <w:rsid w:val="00466AE5"/>
    <w:rsid w:val="00467C52"/>
    <w:rsid w:val="0047387D"/>
    <w:rsid w:val="004755E1"/>
    <w:rsid w:val="004C12FF"/>
    <w:rsid w:val="004D123D"/>
    <w:rsid w:val="004D2D11"/>
    <w:rsid w:val="004E0C12"/>
    <w:rsid w:val="004F00B1"/>
    <w:rsid w:val="004F36E2"/>
    <w:rsid w:val="004F693D"/>
    <w:rsid w:val="00515A31"/>
    <w:rsid w:val="00515F86"/>
    <w:rsid w:val="005237B9"/>
    <w:rsid w:val="00525003"/>
    <w:rsid w:val="00525FE8"/>
    <w:rsid w:val="005263B7"/>
    <w:rsid w:val="00555FE9"/>
    <w:rsid w:val="00563E87"/>
    <w:rsid w:val="00581A19"/>
    <w:rsid w:val="0058428B"/>
    <w:rsid w:val="00585D6F"/>
    <w:rsid w:val="005A575E"/>
    <w:rsid w:val="005B0008"/>
    <w:rsid w:val="005B1821"/>
    <w:rsid w:val="005B7A1B"/>
    <w:rsid w:val="005D3F94"/>
    <w:rsid w:val="005D73FA"/>
    <w:rsid w:val="005E5EEA"/>
    <w:rsid w:val="005F4166"/>
    <w:rsid w:val="006101A0"/>
    <w:rsid w:val="00613273"/>
    <w:rsid w:val="00617CCA"/>
    <w:rsid w:val="00643360"/>
    <w:rsid w:val="00656CA4"/>
    <w:rsid w:val="006619B8"/>
    <w:rsid w:val="00685784"/>
    <w:rsid w:val="006921C1"/>
    <w:rsid w:val="006A2245"/>
    <w:rsid w:val="006B024C"/>
    <w:rsid w:val="006B1A23"/>
    <w:rsid w:val="006B24FD"/>
    <w:rsid w:val="006B3EA2"/>
    <w:rsid w:val="006C61E8"/>
    <w:rsid w:val="006D203A"/>
    <w:rsid w:val="006D5DF2"/>
    <w:rsid w:val="006E4934"/>
    <w:rsid w:val="007107B9"/>
    <w:rsid w:val="007225F7"/>
    <w:rsid w:val="0072369D"/>
    <w:rsid w:val="007350CE"/>
    <w:rsid w:val="007539CB"/>
    <w:rsid w:val="0075541D"/>
    <w:rsid w:val="00780CD9"/>
    <w:rsid w:val="00780D9F"/>
    <w:rsid w:val="007B35D6"/>
    <w:rsid w:val="007C78C2"/>
    <w:rsid w:val="007E7505"/>
    <w:rsid w:val="00824A61"/>
    <w:rsid w:val="00841193"/>
    <w:rsid w:val="00862C68"/>
    <w:rsid w:val="00871C2E"/>
    <w:rsid w:val="00877488"/>
    <w:rsid w:val="00882224"/>
    <w:rsid w:val="00882FF9"/>
    <w:rsid w:val="0088556A"/>
    <w:rsid w:val="00891207"/>
    <w:rsid w:val="00891237"/>
    <w:rsid w:val="008A688B"/>
    <w:rsid w:val="008C5D42"/>
    <w:rsid w:val="009063EC"/>
    <w:rsid w:val="00912F49"/>
    <w:rsid w:val="009174A0"/>
    <w:rsid w:val="00935765"/>
    <w:rsid w:val="00961D7A"/>
    <w:rsid w:val="00976316"/>
    <w:rsid w:val="009A3C3E"/>
    <w:rsid w:val="009A7FF0"/>
    <w:rsid w:val="009B0325"/>
    <w:rsid w:val="009E0424"/>
    <w:rsid w:val="009E3EBB"/>
    <w:rsid w:val="009F260A"/>
    <w:rsid w:val="009F64BB"/>
    <w:rsid w:val="00A1414A"/>
    <w:rsid w:val="00A20F03"/>
    <w:rsid w:val="00A240F3"/>
    <w:rsid w:val="00A25C9D"/>
    <w:rsid w:val="00A4533A"/>
    <w:rsid w:val="00A508E8"/>
    <w:rsid w:val="00A560A7"/>
    <w:rsid w:val="00A560D0"/>
    <w:rsid w:val="00A7019F"/>
    <w:rsid w:val="00A73929"/>
    <w:rsid w:val="00A84A16"/>
    <w:rsid w:val="00A86F59"/>
    <w:rsid w:val="00A954B8"/>
    <w:rsid w:val="00AB709F"/>
    <w:rsid w:val="00AD6913"/>
    <w:rsid w:val="00AF2EE1"/>
    <w:rsid w:val="00B10403"/>
    <w:rsid w:val="00B31D71"/>
    <w:rsid w:val="00B3479F"/>
    <w:rsid w:val="00B46830"/>
    <w:rsid w:val="00B52149"/>
    <w:rsid w:val="00B87289"/>
    <w:rsid w:val="00BA225B"/>
    <w:rsid w:val="00BA2734"/>
    <w:rsid w:val="00BB3D9F"/>
    <w:rsid w:val="00BC136B"/>
    <w:rsid w:val="00BC4551"/>
    <w:rsid w:val="00BD59F0"/>
    <w:rsid w:val="00BF2E4F"/>
    <w:rsid w:val="00BF3830"/>
    <w:rsid w:val="00BF5838"/>
    <w:rsid w:val="00C41BF7"/>
    <w:rsid w:val="00C438E5"/>
    <w:rsid w:val="00C53131"/>
    <w:rsid w:val="00C61A06"/>
    <w:rsid w:val="00C83E72"/>
    <w:rsid w:val="00CA5303"/>
    <w:rsid w:val="00CD4B9A"/>
    <w:rsid w:val="00CE0528"/>
    <w:rsid w:val="00CE612F"/>
    <w:rsid w:val="00D01116"/>
    <w:rsid w:val="00D262E6"/>
    <w:rsid w:val="00D26E68"/>
    <w:rsid w:val="00D3528F"/>
    <w:rsid w:val="00D42000"/>
    <w:rsid w:val="00D51B19"/>
    <w:rsid w:val="00D56D1D"/>
    <w:rsid w:val="00D70F67"/>
    <w:rsid w:val="00D76245"/>
    <w:rsid w:val="00D80419"/>
    <w:rsid w:val="00D8060A"/>
    <w:rsid w:val="00D87A2B"/>
    <w:rsid w:val="00D971D2"/>
    <w:rsid w:val="00DB1192"/>
    <w:rsid w:val="00DB58A0"/>
    <w:rsid w:val="00DC71D8"/>
    <w:rsid w:val="00DD042C"/>
    <w:rsid w:val="00DE3D91"/>
    <w:rsid w:val="00DF7609"/>
    <w:rsid w:val="00E17A9A"/>
    <w:rsid w:val="00E45862"/>
    <w:rsid w:val="00E83D02"/>
    <w:rsid w:val="00E95A68"/>
    <w:rsid w:val="00EB483D"/>
    <w:rsid w:val="00EC7203"/>
    <w:rsid w:val="00EE4AC6"/>
    <w:rsid w:val="00EF0BC0"/>
    <w:rsid w:val="00F27406"/>
    <w:rsid w:val="00F32882"/>
    <w:rsid w:val="00F32DE1"/>
    <w:rsid w:val="00F36A58"/>
    <w:rsid w:val="00F44197"/>
    <w:rsid w:val="00F745F5"/>
    <w:rsid w:val="00F844E5"/>
    <w:rsid w:val="00FB4EDC"/>
    <w:rsid w:val="00FB6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E857"/>
  <w15:chartTrackingRefBased/>
  <w15:docId w15:val="{DD2931D5-6CE1-4437-991E-A7B2F397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4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4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4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4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4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4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4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488"/>
    <w:rPr>
      <w:rFonts w:eastAsiaTheme="majorEastAsia" w:cstheme="majorBidi"/>
      <w:color w:val="272727" w:themeColor="text1" w:themeTint="D8"/>
    </w:rPr>
  </w:style>
  <w:style w:type="paragraph" w:styleId="Title">
    <w:name w:val="Title"/>
    <w:basedOn w:val="Normal"/>
    <w:next w:val="Normal"/>
    <w:link w:val="TitleChar"/>
    <w:uiPriority w:val="10"/>
    <w:qFormat/>
    <w:rsid w:val="00877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488"/>
    <w:pPr>
      <w:spacing w:before="160"/>
      <w:jc w:val="center"/>
    </w:pPr>
    <w:rPr>
      <w:i/>
      <w:iCs/>
      <w:color w:val="404040" w:themeColor="text1" w:themeTint="BF"/>
    </w:rPr>
  </w:style>
  <w:style w:type="character" w:customStyle="1" w:styleId="QuoteChar">
    <w:name w:val="Quote Char"/>
    <w:basedOn w:val="DefaultParagraphFont"/>
    <w:link w:val="Quote"/>
    <w:uiPriority w:val="29"/>
    <w:rsid w:val="00877488"/>
    <w:rPr>
      <w:i/>
      <w:iCs/>
      <w:color w:val="404040" w:themeColor="text1" w:themeTint="BF"/>
    </w:rPr>
  </w:style>
  <w:style w:type="paragraph" w:styleId="ListParagraph">
    <w:name w:val="List Paragraph"/>
    <w:basedOn w:val="Normal"/>
    <w:uiPriority w:val="34"/>
    <w:qFormat/>
    <w:rsid w:val="00877488"/>
    <w:pPr>
      <w:ind w:left="720"/>
      <w:contextualSpacing/>
    </w:pPr>
  </w:style>
  <w:style w:type="character" w:styleId="IntenseEmphasis">
    <w:name w:val="Intense Emphasis"/>
    <w:basedOn w:val="DefaultParagraphFont"/>
    <w:uiPriority w:val="21"/>
    <w:qFormat/>
    <w:rsid w:val="00877488"/>
    <w:rPr>
      <w:i/>
      <w:iCs/>
      <w:color w:val="0F4761" w:themeColor="accent1" w:themeShade="BF"/>
    </w:rPr>
  </w:style>
  <w:style w:type="paragraph" w:styleId="IntenseQuote">
    <w:name w:val="Intense Quote"/>
    <w:basedOn w:val="Normal"/>
    <w:next w:val="Normal"/>
    <w:link w:val="IntenseQuoteChar"/>
    <w:uiPriority w:val="30"/>
    <w:qFormat/>
    <w:rsid w:val="00877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488"/>
    <w:rPr>
      <w:i/>
      <w:iCs/>
      <w:color w:val="0F4761" w:themeColor="accent1" w:themeShade="BF"/>
    </w:rPr>
  </w:style>
  <w:style w:type="character" w:styleId="IntenseReference">
    <w:name w:val="Intense Reference"/>
    <w:basedOn w:val="DefaultParagraphFont"/>
    <w:uiPriority w:val="32"/>
    <w:qFormat/>
    <w:rsid w:val="00877488"/>
    <w:rPr>
      <w:b/>
      <w:bCs/>
      <w:smallCaps/>
      <w:color w:val="0F4761" w:themeColor="accent1" w:themeShade="BF"/>
      <w:spacing w:val="5"/>
    </w:rPr>
  </w:style>
  <w:style w:type="table" w:styleId="TableGrid">
    <w:name w:val="Table Grid"/>
    <w:basedOn w:val="TableNormal"/>
    <w:uiPriority w:val="39"/>
    <w:rsid w:val="0087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2386"/>
    <w:rPr>
      <w:color w:val="467886" w:themeColor="hyperlink"/>
      <w:u w:val="single"/>
    </w:rPr>
  </w:style>
  <w:style w:type="character" w:styleId="UnresolvedMention">
    <w:name w:val="Unresolved Mention"/>
    <w:basedOn w:val="DefaultParagraphFont"/>
    <w:uiPriority w:val="99"/>
    <w:semiHidden/>
    <w:unhideWhenUsed/>
    <w:rsid w:val="00062386"/>
    <w:rPr>
      <w:color w:val="605E5C"/>
      <w:shd w:val="clear" w:color="auto" w:fill="E1DFDD"/>
    </w:rPr>
  </w:style>
  <w:style w:type="paragraph" w:styleId="Header">
    <w:name w:val="header"/>
    <w:basedOn w:val="Normal"/>
    <w:link w:val="HeaderChar"/>
    <w:uiPriority w:val="99"/>
    <w:unhideWhenUsed/>
    <w:rsid w:val="00BF38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830"/>
  </w:style>
  <w:style w:type="paragraph" w:styleId="Footer">
    <w:name w:val="footer"/>
    <w:basedOn w:val="Normal"/>
    <w:link w:val="FooterChar"/>
    <w:uiPriority w:val="99"/>
    <w:unhideWhenUsed/>
    <w:rsid w:val="00BF38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830"/>
  </w:style>
  <w:style w:type="character" w:styleId="Strong">
    <w:name w:val="Strong"/>
    <w:basedOn w:val="DefaultParagraphFont"/>
    <w:uiPriority w:val="22"/>
    <w:qFormat/>
    <w:rsid w:val="009F260A"/>
    <w:rPr>
      <w:b/>
      <w:bCs/>
    </w:rPr>
  </w:style>
  <w:style w:type="character" w:styleId="FollowedHyperlink">
    <w:name w:val="FollowedHyperlink"/>
    <w:basedOn w:val="DefaultParagraphFont"/>
    <w:uiPriority w:val="99"/>
    <w:semiHidden/>
    <w:unhideWhenUsed/>
    <w:rsid w:val="00CE0528"/>
    <w:rPr>
      <w:color w:val="96607D" w:themeColor="followedHyperlink"/>
      <w:u w:val="single"/>
    </w:rPr>
  </w:style>
  <w:style w:type="paragraph" w:styleId="NormalWeb">
    <w:name w:val="Normal (Web)"/>
    <w:basedOn w:val="Normal"/>
    <w:uiPriority w:val="99"/>
    <w:semiHidden/>
    <w:unhideWhenUsed/>
    <w:rsid w:val="001F20F4"/>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ult.communities.gov.uk/planning-development-management/reforms-to-the-statutory-consultee-syste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f4ed74-c78f-4479-bd92-0a44972bf22e">
      <Terms xmlns="http://schemas.microsoft.com/office/infopath/2007/PartnerControls"/>
    </lcf76f155ced4ddcb4097134ff3c332f>
    <TaxCatchAll xmlns="3b380400-5033-4187-aca3-d4eeb8c494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32D8C9E324EB4F9CBF2C619B5FFAF4" ma:contentTypeVersion="19" ma:contentTypeDescription="Create a new document." ma:contentTypeScope="" ma:versionID="2389bcba6d3d44860d30eb97fc928dac">
  <xsd:schema xmlns:xsd="http://www.w3.org/2001/XMLSchema" xmlns:xs="http://www.w3.org/2001/XMLSchema" xmlns:p="http://schemas.microsoft.com/office/2006/metadata/properties" xmlns:ns2="27f4ed74-c78f-4479-bd92-0a44972bf22e" xmlns:ns3="3b380400-5033-4187-aca3-d4eeb8c49458" targetNamespace="http://schemas.microsoft.com/office/2006/metadata/properties" ma:root="true" ma:fieldsID="d3368b547cc07363e0cb356b251e9fdd" ns2:_="" ns3:_="">
    <xsd:import namespace="27f4ed74-c78f-4479-bd92-0a44972bf22e"/>
    <xsd:import namespace="3b380400-5033-4187-aca3-d4eeb8c494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4ed74-c78f-4479-bd92-0a44972bf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62cc7b-f5bb-4c0c-a179-f784f2edf5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80400-5033-4187-aca3-d4eeb8c494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f7c4fc-8bdd-4008-8ff5-be0632e45cbe}" ma:internalName="TaxCatchAll" ma:showField="CatchAllData" ma:web="3b380400-5033-4187-aca3-d4eeb8c49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69738-BBFB-43C3-BEF2-586EE1EE7B51}">
  <ds:schemaRefs>
    <ds:schemaRef ds:uri="http://schemas.openxmlformats.org/officeDocument/2006/bibliography"/>
  </ds:schemaRefs>
</ds:datastoreItem>
</file>

<file path=customXml/itemProps2.xml><?xml version="1.0" encoding="utf-8"?>
<ds:datastoreItem xmlns:ds="http://schemas.openxmlformats.org/officeDocument/2006/customXml" ds:itemID="{C77B590F-B9A2-4F31-90AD-6B09320A7A14}">
  <ds:schemaRefs>
    <ds:schemaRef ds:uri="http://schemas.microsoft.com/sharepoint/v3/contenttype/forms"/>
  </ds:schemaRefs>
</ds:datastoreItem>
</file>

<file path=customXml/itemProps3.xml><?xml version="1.0" encoding="utf-8"?>
<ds:datastoreItem xmlns:ds="http://schemas.openxmlformats.org/officeDocument/2006/customXml" ds:itemID="{61C8BD37-EA3B-41A3-B24F-44731B447993}">
  <ds:schemaRefs>
    <ds:schemaRef ds:uri="http://schemas.microsoft.com/office/2006/metadata/properties"/>
    <ds:schemaRef ds:uri="http://schemas.microsoft.com/office/infopath/2007/PartnerControls"/>
    <ds:schemaRef ds:uri="27f4ed74-c78f-4479-bd92-0a44972bf22e"/>
    <ds:schemaRef ds:uri="3b380400-5033-4187-aca3-d4eeb8c49458"/>
  </ds:schemaRefs>
</ds:datastoreItem>
</file>

<file path=customXml/itemProps4.xml><?xml version="1.0" encoding="utf-8"?>
<ds:datastoreItem xmlns:ds="http://schemas.openxmlformats.org/officeDocument/2006/customXml" ds:itemID="{C8E774BA-5D06-43C0-8D5D-F40393B07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4ed74-c78f-4479-bd92-0a44972bf22e"/>
    <ds:schemaRef ds:uri="3b380400-5033-4187-aca3-d4eeb8c4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1411</Words>
  <Characters>7535</Characters>
  <Application>Microsoft Office Word</Application>
  <DocSecurity>0</DocSecurity>
  <Lines>139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McKenzie</dc:creator>
  <cp:keywords/>
  <dc:description/>
  <cp:lastModifiedBy>Katherine Hegarty</cp:lastModifiedBy>
  <cp:revision>43</cp:revision>
  <dcterms:created xsi:type="dcterms:W3CDTF">2025-12-10T06:50:00Z</dcterms:created>
  <dcterms:modified xsi:type="dcterms:W3CDTF">2025-12-15T14:45:00Z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0x0101003B32D8C9E324EB4F9CBF2C619B5FFAF4</vt:lpwstr>
  </property>
  <property fmtid="{D5CDD505-2E9C-101B-9397-08002B2CF9AE}" pid="3" name="MediaServiceImageTags">
    <vt:lpwstr/>
  </property>
</Properties>
</file>